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right"/>
      </w:pPr>
      <w:r>
        <w:rPr>
          <w:b/>
          <w:bCs/>
        </w:rPr>
        <w:t xml:space="preserve">Claim No. HT-2026-000087</w:t>
      </w:r>
    </w:p>
    <w:p>
      <w:pPr>
        <w:spacing w:after="40" w:line="276"/>
        <w:jc w:val="center"/>
      </w:pPr>
      <w:r>
        <w:rPr>
          <w:b/>
          <w:bCs/>
        </w:rPr>
        <w:t xml:space="preserve">VERDANT ENERGY SYSTEMS LIMITED v CALDERHALL CELLS LIMITED</w:t>
      </w:r>
    </w:p>
    <w:p>
      <w:pPr>
        <w:spacing w:after="160" w:line="276"/>
        <w:jc w:val="center"/>
      </w:pPr>
      <w:r>
        <w:rPr>
          <w:b/>
          <w:bCs/>
        </w:rPr>
        <w:t xml:space="preserve">CHRONOLOGY</w:t>
      </w:r>
    </w:p>
    <w:p>
      <w:pPr>
        <w:spacing w:after="160" w:line="276"/>
      </w:pPr>
      <w:r>
        <w:rPr>
          <w:i/>
          <w:iCs/>
          <w:sz w:val="18"/>
          <w:szCs w:val="18"/>
        </w:rPr>
        <w:t xml:space="preserve">This chronology is prepared by the Claimant for the case management conference. It is non-contentious save where indicated and is without prejudice to the Claimant’s pleaded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660"/>
        <w:gridCol w:w="120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Mar 2024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 qualification workshop; Verdant informs Calderhall of energisation deadline and availability-revenue requirements.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MC1/12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 May 2024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Cell Supply Agreement executed (3 strings; £2,940,000).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 Aug 2024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 A delivered to Brackmoor site.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MC1/41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Sep 2024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 B delivered to Brackmoor site.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MC1/43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 Sep 2024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 C delivered to Brackmoor site.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MC1/45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Oct 2024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 instalment of price paid (£2,940,000 in full).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MC1/52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Nov 2024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Energisation and commissioning of facility commences.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MC1/58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11–22 Nov 2024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Capacity-characterisation testing; String B exhibits accelerated fade, voltage divergence and localised heating.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MC1/61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 Nov 2024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Verdant suspends commissioning of String B.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MC1/70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Nov 2024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Verdant notifies Calderhall of non-conformities under clause 9.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MC1/72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Dec 2024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Joint site inspection of String B.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MC1/78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 Dec 2024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Contractual energisation date (missed).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MC1/80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Jan 2025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Wraysbury Materials Laboratory failure-analysis report served.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MC1/95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Feb 2025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Letter before action sent to Calderhall.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MC1/130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Feb 2025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Calderhall’s solicitors deny liability.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MC1/138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c. 7 Feb 2025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Facility energised (≈ 8 weeks late) following remediation.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MC1/142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 May 2025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 Form and Particulars of Claim issued.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Jun 2025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Defence served.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Oct 2025</w:t>
            </w:r>
          </w:p>
        </w:tc>
        <w:tc>
          <w:tcPr>
            <w:tcW w:type="dxa" w:w="6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Case Management Conference; directions to trial.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8888" w:sz="4" w:space="6"/>
      </w:pBdr>
      <w:spacing w:before="60"/>
    </w:pPr>
    <w:r>
      <w:rPr>
        <w:color w:val="666666"/>
        <w:sz w:val="14"/>
        <w:szCs w:val="14"/>
      </w:rPr>
      <w:t xml:space="preserve">Whitfield Carter LLP  |  22 Bishopsgate, London EC2N 4BQ  |  Confidential and may be legally privileged.</w:t>
    </w:r>
  </w:p>
  <w:p>
    <w:pPr>
      <w:jc w:val="right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2026-06-25T20:53:12.865Z</dcterms:created>
  <dcterms:modified xsi:type="dcterms:W3CDTF">2026-06-25T20:53:12.865Z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