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sz w:val="26"/>
          <w:szCs w:val="26"/>
        </w:rPr>
        <w:t xml:space="preserve">PROJECT LYRA — COMPLETION CHECKLIST</w:t>
      </w:r>
    </w:p>
    <w:p>
      <w:pPr>
        <w:spacing w:after="160" w:before="0"/>
        <w:jc w:val="center"/>
      </w:pPr>
      <w:r>
        <w:rPr>
          <w:i/>
          <w:iCs/>
        </w:rPr>
        <w:t xml:space="preserve">Patent and Know-How Licence: Veridian Photonics Limited / Marrick Defence Systems plc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26"/>
        <w:gridCol w:w="1900"/>
        <w:gridCol w:w="1800"/>
      </w:tblGrid>
      <w:tr>
        <w:trPr>
          <w:tblHeader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Document / step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Patent and Know-How Licence Agreement (executed)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 / WC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 signature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Veridian board minutes approving the Licence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Veridian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Signed 19 Jun 2025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Marrick board resolution / authority to sign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Marrick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Disclosure Letter and IP warranty schedule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Veridian / WC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Agreed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Side letter on know-how transfer plan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 signature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 1 patent family confirmation (Hartington IP)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Veridian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Export-control assessment note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Marrick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Received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Upfront fee invoice (£4,500,000)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Veridian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 issue on completion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Completion funds flow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Agreed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Notification to patent attorneys of licence grant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Veridian / WC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Post-completion</w:t>
            </w:r>
          </w:p>
        </w:tc>
      </w:tr>
      <w:tr>
        <w:tc>
          <w:tcPr>
            <w:tcW w:type="dxa" w:w="700"/>
          </w:tcPr>
          <w:p>
            <w:r>
              <w:t>11</w:t>
            </w:r>
          </w:p>
        </w:tc>
        <w:tc>
          <w:tcPr>
            <w:tcW w:type="dxa" w:w="4626"/>
          </w:tcPr>
          <w:p>
            <w:r>
              <w:t>Final commercial terms confirmed: £4.5m upfront; £2m milestone (2×£1m tranches, on first sale and 1st anniversary); 6.0% running royalty; £750k minimum annual royalty from year 3; liability cap 125%; 36-month longstop to first commercial sale; exclusive defence/aerospace field</w:t>
            </w:r>
          </w:p>
        </w:tc>
        <w:tc>
          <w:tcPr>
            <w:tcW w:type="dxa" w:w="1900"/>
          </w:tcPr>
          <w:p>
            <w:r>
              <w:t>Both / WC</w:t>
            </w:r>
          </w:p>
        </w:tc>
        <w:tc>
          <w:tcPr>
            <w:tcW w:type="dxa" w:w="1800"/>
          </w:tcPr>
          <w:p>
            <w:r>
              <w:t>Agreed</w:t>
            </w:r>
          </w:p>
        </w:tc>
      </w:tr>
    </w:tbl>
    <w:p>
      <w:pPr>
        <w:spacing w:after="120" w:before="160"/>
      </w:pPr>
      <w:r>
        <w:t xml:space="preserve">Target completion: 27 June 2025.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tabs>
        <w:tab w:val="right" w:pos="9026"/>
      </w:tabs>
    </w:pPr>
    <w:r>
      <w:rPr>
        <w:color w:val="777777"/>
        <w:sz w:val="15"/>
        <w:szCs w:val="15"/>
      </w:rPr>
      <w:t xml:space="preserve">Project Lyra — Completion checklist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2026-06-30T17:47:30.965Z</dcterms:created>
  <dcterms:modified xsi:type="dcterms:W3CDTF">2026-06-30T17:47:30.965Z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