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pPr>
      <w:r>
        <w:t xml:space="preserve">Marrick Defence Systems plc</w:t>
      </w:r>
    </w:p>
    <w:p>
      <w:pPr>
        <w:spacing w:after="120" w:before="0"/>
      </w:pPr>
      <w:r>
        <w:t xml:space="preserve">Marrick House, Pinewood Business Park, Farnborough GU14 7BF</w:t>
      </w:r>
    </w:p>
    <w:p>
      <w:pPr>
        <w:spacing w:after="120" w:before="0"/>
      </w:pPr>
      <w:r>
        <w:t xml:space="preserve">[Completion date] 2025</w:t>
      </w:r>
    </w:p>
    <w:p>
      <w:pPr>
        <w:spacing w:after="120" w:before="0"/>
      </w:pPr>
      <w:r>
        <w:t xml:space="preserve">Dear Sirs</w:t>
      </w:r>
    </w:p>
    <w:p>
      <w:pPr>
        <w:spacing w:after="120" w:before="0"/>
      </w:pPr>
      <w:r>
        <w:t xml:space="preserve">Project Lyra — Side letter regarding know-how transfer</w:t>
      </w:r>
    </w:p>
    <w:p>
      <w:pPr>
        <w:spacing w:after="120" w:before="0"/>
      </w:pPr>
      <w:r>
        <w:t xml:space="preserve">This letter is supplemental to the Patent and Know-How Licence Agreement of even date between Veridian Photonics Limited (the “Licensor”) and Marrick Defence Systems plc (the “Licensee”) (the “Licence”). Terms defined in the Licence have the same meaning here.</w:t>
      </w:r>
    </w:p>
    <w:p>
      <w:pPr>
        <w:spacing w:after="120" w:before="0"/>
      </w:pPr>
      <w:r>
        <w:t xml:space="preserve">The Parties agree that:</w:t>
      </w:r>
    </w:p>
    <w:p>
      <w:pPr>
        <w:tabs>
          <w:tab w:val="left" w:pos="560"/>
        </w:tabs>
        <w:spacing w:after="100"/>
        <w:ind w:left="560" w:hanging="560"/>
      </w:pPr>
      <w:r>
        <w:t xml:space="preserve">1.	</w:t>
      </w:r>
      <w:r>
        <w:t xml:space="preserve">the Licensor shall deliver the Licensed Know-How (the VQ-KH-100 to VQ-KH-400 document series) to a secure data environment within 30 days of completion and shall provide a designated technical contact (Dr Priyanka Rao) for the duration of the transfer;</w:t>
      </w:r>
    </w:p>
    <w:p>
      <w:pPr>
        <w:tabs>
          <w:tab w:val="left" w:pos="560"/>
        </w:tabs>
        <w:spacing w:after="100"/>
        <w:ind w:left="560" w:hanging="560"/>
      </w:pPr>
      <w:r>
        <w:t xml:space="preserve">2.	</w:t>
      </w:r>
      <w:r>
        <w:t xml:space="preserve">the 40 person-days of technical assistance referred to in clause 2.4 of the Licence shall be scheduled at no charge over the first 12 months, with any additional assistance charged at £1,250 per person-day; and</w:t>
      </w:r>
    </w:p>
    <w:p>
      <w:pPr>
        <w:tabs>
          <w:tab w:val="left" w:pos="560"/>
        </w:tabs>
        <w:spacing w:after="100"/>
        <w:ind w:left="560" w:hanging="560"/>
      </w:pPr>
      <w:r>
        <w:t xml:space="preserve">3.	</w:t>
      </w:r>
      <w:r>
        <w:t xml:space="preserve">the Parties shall hold a joint technical kick-off within 14 days of completion to agree the detailed transfer timetable against Schedule 3 of the Licence.</w:t>
      </w:r>
    </w:p>
    <w:p>
      <w:pPr>
        <w:spacing w:after="120" w:before="0"/>
      </w:pPr>
      <w:r>
        <w:t xml:space="preserve">This letter is governed by the law of England and Wales. Please countersign and return the enclosed copy to confirm your agreement.</w:t>
      </w:r>
    </w:p>
    <w:p>
      <w:pPr>
        <w:spacing w:after="160" w:before="0"/>
      </w:pPr>
      <w:r>
        <w:t xml:space="preserve">Yours faithfully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999999" w:sz="1"/>
              <w:left w:val="single" w:color="999999" w:sz="1"/>
              <w:bottom w:val="single" w:color="999999" w:sz="1"/>
              <w:right w:val="single" w:color="999999" w:sz="1"/>
            </w:tcBorders>
            <w:tcMar>
              <w:top w:type="dxa" w:w="60"/>
              <w:left w:type="dxa" w:w="100"/>
              <w:bottom w:type="dxa" w:w="60"/>
              <w:right w:type="dxa" w:w="100"/>
            </w:tcMar>
          </w:tcPr>
          <w:p>
            <w:r>
              <w:t xml:space="preserve">Signed for VERIDIAN PHOTONICS LIMITED
.......................................
Director</w:t>
            </w:r>
          </w:p>
        </w:tc>
        <w:tc>
          <w:tcPr>
            <w:tcW w:type="dxa" w:w="4513"/>
            <w:tcBorders>
              <w:top w:val="single" w:color="999999" w:sz="1"/>
              <w:left w:val="single" w:color="999999" w:sz="1"/>
              <w:bottom w:val="single" w:color="999999" w:sz="1"/>
              <w:right w:val="single" w:color="999999" w:sz="1"/>
            </w:tcBorders>
            <w:tcMar>
              <w:top w:type="dxa" w:w="60"/>
              <w:left w:type="dxa" w:w="100"/>
              <w:bottom w:type="dxa" w:w="60"/>
              <w:right w:type="dxa" w:w="100"/>
            </w:tcMar>
          </w:tcPr>
          <w:p>
            <w:r>
              <w:t xml:space="preserve">Countersigned for MARRICK DEFENCE SYSTEMS PLC
.......................................
Director</w:t>
            </w:r>
          </w:p>
        </w:tc>
      </w:tr>
    </w:tbl>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BBBBB" w:sz="4" w:space="4"/>
      </w:pBdr>
      <w:tabs>
        <w:tab w:val="right" w:pos="9026"/>
      </w:tabs>
    </w:pPr>
    <w:r>
      <w:rPr>
        <w:color w:val="777777"/>
        <w:sz w:val="15"/>
        <w:szCs w:val="15"/>
      </w:rPr>
      <w:t xml:space="preserve">Project Lyra — Side letter (know-how transfer)</w:t>
    </w:r>
    <w:r>
      <w:rPr>
        <w:color w:val="777777"/>
        <w:sz w:val="15"/>
        <w:szCs w:val="15"/>
      </w:rPr>
      <w:t xml:space="preserve">	Page </w:t>
    </w:r>
    <w:r>
      <w:rPr>
        <w:color w:val="777777"/>
        <w:sz w:val="15"/>
        <w:szCs w:val="15"/>
      </w:rPr>
      <w:fldChar w:fldCharType="begin"/>
      <w:instrText xml:space="preserve">PAGE</w:instrText>
      <w:fldChar w:fldCharType="separate"/>
      <w:fldChar w:fldCharType="end"/>
    </w:r>
    <w:r>
      <w:rPr>
        <w:color w:val="777777"/>
        <w:sz w:val="15"/>
        <w:szCs w:val="15"/>
      </w:rPr>
      <w:t xml:space="preserve"> of </w:t>
    </w:r>
    <w:r>
      <w:rPr>
        <w:color w:val="777777"/>
        <w:sz w:val="15"/>
        <w:szCs w:val="15"/>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sz w:val="26"/>
      <w:szCs w:val="26"/>
    </w:rPr>
  </w:style>
  <w:style w:type="paragraph" w:styleId="Heading2">
    <w:name w:val="Heading 2"/>
    <w:basedOn w:val="Normal"/>
    <w:next w:val="Normal"/>
    <w:qFormat/>
    <w:pPr>
      <w:spacing w:after="80" w:before="160"/>
      <w:outlineLvl w:val="1"/>
    </w:pPr>
    <w:rPr>
      <w:rFonts w:ascii="Arial" w:cs="Arial" w:eastAsia="Arial" w:hAnsi="Arial"/>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2026-06-30T17:47:30.987Z</dcterms:created>
  <dcterms:modified xsi:type="dcterms:W3CDTF">2026-06-30T17:47:30.987Z</dcterms:modified>
</cp:coreProperties>
</file>

<file path=docProps/custom.xml><?xml version="1.0" encoding="utf-8"?>
<Properties xmlns="http://schemas.openxmlformats.org/officeDocument/2006/custom-properties" xmlns:vt="http://schemas.openxmlformats.org/officeDocument/2006/docPropsVTypes"/>
</file>