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30"/>
          <w:szCs w:val="30"/>
        </w:rPr>
        <w:t xml:space="preserve">CASTLE &amp; VANE LLP</w:t>
      </w:r>
    </w:p>
    <w:p>
      <w:pPr>
        <w:spacing w:after="20"/>
        <w:jc w:val="center"/>
      </w:pPr>
      <w:r>
        <w:rPr>
          <w:color w:val="808080"/>
          <w:sz w:val="17"/>
          <w:szCs w:val="17"/>
        </w:rPr>
        <w:t xml:space="preserve">Solicitors</w:t>
      </w:r>
    </w:p>
    <w:p>
      <w:pPr>
        <w:pBdr>
          <w:bottom w:val="single" w:color="1F3864" w:sz="6" w:space="4"/>
        </w:pBdr>
        <w:spacing w:after="160"/>
        <w:jc w:val="center"/>
      </w:pPr>
      <w:r>
        <w:rPr>
          <w:color w:val="808080"/>
          <w:sz w:val="17"/>
          <w:szCs w:val="17"/>
        </w:rPr>
        <w:t xml:space="preserve">8 Gracechurch Street, London EC3V 0DL   |   T +44 (0)20 7946 0042   |   castlevane.com</w:t>
      </w:r>
    </w:p>
    <w:p>
      <w:pPr>
        <w:spacing w:after="80"/>
        <w:jc w:val="right"/>
      </w:pPr>
      <w:r>
        <w:t xml:space="preserve">8 December 2025</w:t>
      </w:r>
    </w:p>
    <w:p>
      <w:pPr>
        <w:spacing w:after="120"/>
      </w:pPr>
      <w:r>
        <w:t xml:space="preserve">To:  </w:t>
      </w:r>
      <w:r>
        <w:t xml:space="preserve">Wexford Holdings Limited (the “Buyer”)</w:t>
      </w:r>
    </w:p>
    <w:p>
      <w:pPr>
        <w:spacing w:after="120"/>
      </w:pPr>
      <w:r>
        <w:t xml:space="preserve">Copy: Whitfield Carter LLP, 22 Bishopsgate, London EC2N 4BQ (the Buyer’s Solicitors)</w:t>
      </w:r>
    </w:p>
    <w:p>
      <w:pPr>
        <w:spacing w:after="40" w:before="80"/>
        <w:jc w:val="center"/>
      </w:pPr>
      <w:r>
        <w:rPr>
          <w:b/>
          <w:bCs/>
          <w:sz w:val="26"/>
          <w:szCs w:val="26"/>
        </w:rPr>
        <w:t xml:space="preserve">DISCLOSURE LETTER</w:t>
      </w:r>
    </w:p>
    <w:p>
      <w:pPr>
        <w:spacing w:after="160"/>
        <w:jc w:val="center"/>
      </w:pPr>
      <w:r>
        <w:t xml:space="preserve">Project Granite — proposed acquisition of Calder Vale Foods Limited</w:t>
      </w:r>
    </w:p>
    <w:p>
      <w:pPr>
        <w:spacing w:after="120"/>
      </w:pPr>
      <w:r>
        <w:t xml:space="preserve">Dear Sirs,</w:t>
      </w:r>
    </w:p>
    <w:p>
      <w:pPr>
        <w:spacing w:after="120"/>
      </w:pPr>
      <w:r>
        <w:t xml:space="preserve">This is the Disclosure Letter referred to in the share purchase agreement to be entered into on or about the date of this letter between (1) Robert Calder, Helen Calder and the trustees of the Calder Family Trust (the “Sellers”) and (2) the Buyer relating to the entire issued share capital of Calder Vale Foods Limited (the “Agreement”). Words and expressions defined in the Agreement have the same meaning in this letter unless the context otherwise requires, and the provisions of clause 1 (Interpretation) of the Agreement apply to this letter.</w:t>
      </w:r>
    </w:p>
    <w:p>
      <w:pPr>
        <w:pStyle w:val="Heading1"/>
        <w:spacing w:after="100" w:before="200"/>
      </w:pPr>
      <w:r>
        <w:rPr>
          <w:b/>
          <w:bCs/>
        </w:rPr>
        <w:t xml:space="preserve">1.  Basis of disclosure</w:t>
      </w:r>
    </w:p>
    <w:p>
      <w:pPr>
        <w:tabs>
          <w:tab w:val="left" w:pos="600"/>
        </w:tabs>
        <w:spacing w:after="100"/>
        <w:ind w:left="600" w:hanging="600"/>
      </w:pPr>
      <w:r>
        <w:t xml:space="preserve">1.1	</w:t>
      </w:r>
      <w:r>
        <w:t xml:space="preserve">The Warranties are given subject to, and the Sellers shall have no liability in respect of any matter that is fairly disclosed by or under, this letter (including the General Disclosures and the Specific Disclosures) and the documents contained or referred to in the Data Room, the index to which is annexed at Appendix 1.</w:t>
      </w:r>
    </w:p>
    <w:p>
      <w:pPr>
        <w:tabs>
          <w:tab w:val="left" w:pos="600"/>
        </w:tabs>
        <w:spacing w:after="100"/>
        <w:ind w:left="600" w:hanging="600"/>
      </w:pPr>
      <w:r>
        <w:t xml:space="preserve">1.2	</w:t>
      </w:r>
      <w:r>
        <w:t xml:space="preserve">Disclosure of any matter is made against the Warranties as a whole and not only against any particular Warranty, and the inclusion of any matter shall not be taken as an admission of any liability or of the materiality of that matter. Reference to a Warranty number is for convenience only and does not limit the generality of the disclosure.</w:t>
      </w:r>
    </w:p>
    <w:p>
      <w:pPr>
        <w:tabs>
          <w:tab w:val="left" w:pos="600"/>
        </w:tabs>
        <w:spacing w:after="100"/>
        <w:ind w:left="600" w:hanging="600"/>
      </w:pPr>
      <w:r>
        <w:t xml:space="preserve">1.3	</w:t>
      </w:r>
      <w:r>
        <w:t xml:space="preserve">The Buyer is deemed to have knowledge of, and to have accepted, all matters fairly disclosed in this letter and the Data Room, and shall not be entitled to make any Claim to the extent that the matter giving rise to it is so disclosed.</w:t>
      </w:r>
    </w:p>
    <w:p>
      <w:pPr>
        <w:pStyle w:val="Heading1"/>
        <w:spacing w:after="100" w:before="200"/>
      </w:pPr>
      <w:r>
        <w:rPr>
          <w:b/>
          <w:bCs/>
        </w:rPr>
        <w:t xml:space="preserve">2.  General disclosures</w:t>
      </w:r>
    </w:p>
    <w:p>
      <w:pPr>
        <w:spacing w:after="120"/>
      </w:pPr>
      <w:r>
        <w:t xml:space="preserve">The Warranties are qualified by all matters which would be revealed by, or are apparent from: (a) the public records maintained at Companies House, the Land Registry, the IPO, and the registers of any applicable Tax authority; (b) the constitutional documents and statutory registers of the Target; (c) the Accounts, the Management Accounts and the audit files; and (d) replies given by the Sellers’ Solicitors to the Buyer’s Solicitors’ written enquiries dated 14 October 2025 and 6 November 2025.</w:t>
      </w:r>
    </w:p>
    <w:p>
      <w:pPr>
        <w:pStyle w:val="Heading1"/>
        <w:spacing w:after="100" w:before="200"/>
      </w:pPr>
      <w:r>
        <w:rPr>
          <w:b/>
          <w:bCs/>
        </w:rPr>
        <w:t xml:space="preserve">3.  Specific disclosures</w:t>
      </w:r>
    </w:p>
    <w:p>
      <w:pPr>
        <w:tabs>
          <w:tab w:val="left" w:pos="600"/>
        </w:tabs>
        <w:spacing w:after="100"/>
        <w:ind w:left="600" w:hanging="600"/>
      </w:pPr>
      <w:r>
        <w:t xml:space="preserve">3.1	</w:t>
      </w:r>
      <w:r>
        <w:rPr>
          <w:b/>
          <w:bCs/>
        </w:rPr>
        <w:t xml:space="preserve">Accounts (Warranty 2): </w:t>
      </w:r>
      <w:r>
        <w:t xml:space="preserve">The Management Accounts to 31 October 2025 show a trade-debtor balance of £1,180,000, of which £94,000 is more than 90 days overdue. A bad-debt provision of £60,000 has been made against that balance. The Management Accounts are subject to year-end adjustments and do not include all notes required for statutory accounts.</w:t>
      </w:r>
    </w:p>
    <w:p>
      <w:pPr>
        <w:tabs>
          <w:tab w:val="left" w:pos="600"/>
        </w:tabs>
        <w:spacing w:after="100"/>
        <w:ind w:left="600" w:hanging="600"/>
      </w:pPr>
      <w:r>
        <w:t xml:space="preserve">3.2	</w:t>
      </w:r>
      <w:r>
        <w:rPr>
          <w:b/>
          <w:bCs/>
        </w:rPr>
        <w:t xml:space="preserve">Material contracts (Warranty 5): </w:t>
      </w:r>
      <w:r>
        <w:t xml:space="preserve">The supply agreement with Northborough Dairies Limited dated 1 April 2023 contains a change-of-control provision entitling the counterparty to terminate on 30 days’ written notice in the event of a change of control of the Target. A consent request was submitted on 20 November 2025; as at the date of this letter consent remains outstanding and is the subject of a post-completion undertaking. The Target’s distribution agreement with Pennine Cold Chain Limited expires on 31 March 2026 and is in the course of renegotiation.</w:t>
      </w:r>
    </w:p>
    <w:p>
      <w:pPr>
        <w:tabs>
          <w:tab w:val="left" w:pos="600"/>
        </w:tabs>
        <w:spacing w:after="100"/>
        <w:ind w:left="600" w:hanging="600"/>
      </w:pPr>
      <w:r>
        <w:t xml:space="preserve">3.3	</w:t>
      </w:r>
      <w:r>
        <w:rPr>
          <w:b/>
          <w:bCs/>
        </w:rPr>
        <w:t xml:space="preserve">Tax (Warranty 6): </w:t>
      </w:r>
      <w:r>
        <w:t xml:space="preserve">There is open correspondence with HM Revenue &amp; Customs concerning the VAT treatment of promotional rebates allowed to retail customers in the period to 31 March 2024. The maximum exposure (including interest) is estimated by the Sellers’ advisers at £140,000. The matter is disclosed against the Tax Warranties and is the subject of a specific indemnity in the Agreement.</w:t>
      </w:r>
    </w:p>
    <w:p>
      <w:pPr>
        <w:tabs>
          <w:tab w:val="left" w:pos="600"/>
        </w:tabs>
        <w:spacing w:after="100"/>
        <w:ind w:left="600" w:hanging="600"/>
      </w:pPr>
      <w:r>
        <w:t xml:space="preserve">3.4	</w:t>
      </w:r>
      <w:r>
        <w:rPr>
          <w:b/>
          <w:bCs/>
        </w:rPr>
        <w:t xml:space="preserve">Employees (Warranty 4): </w:t>
      </w:r>
      <w:r>
        <w:t xml:space="preserve">The Target’s Operations Director, Mr Adam Sandhu, is employed on a six-month notice period and has indicated that he does not intend to continue beyond a transitional period of six months following Completion. There are no other Senior Employees under notice.</w:t>
      </w:r>
    </w:p>
    <w:p>
      <w:pPr>
        <w:tabs>
          <w:tab w:val="left" w:pos="600"/>
        </w:tabs>
        <w:spacing w:after="100"/>
        <w:ind w:left="600" w:hanging="600"/>
      </w:pPr>
      <w:r>
        <w:t xml:space="preserve">3.5	</w:t>
      </w:r>
      <w:r>
        <w:rPr>
          <w:b/>
          <w:bCs/>
        </w:rPr>
        <w:t xml:space="preserve">Litigation (Warranty 5): </w:t>
      </w:r>
      <w:r>
        <w:t xml:space="preserve">A former employee has brought a claim in the Employment Tribunal (case number ET 3201884/2025) alleging unfair dismissal. The Target denies the claim and has taken legal advice that it is likely to be successfully defended or settled within existing provisions. A provision of £15,000 has been made.</w:t>
      </w:r>
    </w:p>
    <w:p>
      <w:pPr>
        <w:tabs>
          <w:tab w:val="left" w:pos="600"/>
        </w:tabs>
        <w:spacing w:after="100"/>
        <w:ind w:left="600" w:hanging="600"/>
      </w:pPr>
      <w:r>
        <w:t xml:space="preserve">3.6	</w:t>
      </w:r>
      <w:r>
        <w:rPr>
          <w:b/>
          <w:bCs/>
        </w:rPr>
        <w:t xml:space="preserve">Property (Warranty 7): </w:t>
      </w:r>
      <w:r>
        <w:t xml:space="preserve">The leasehold cold-store depot at Keighley Road, Skipton is held under a lease dated 1 May 2019 which contains a landlord’s break right exercisable on 1 May 2027 on six months’ notice. The freehold property at Unit 4, Calder Vale Industrial Estate (title number NYK284119) is subject to a registered charge in favour of Northbank plc which will be released at Completion.</w:t>
      </w:r>
    </w:p>
    <w:p>
      <w:pPr>
        <w:tabs>
          <w:tab w:val="left" w:pos="600"/>
        </w:tabs>
        <w:spacing w:after="100"/>
        <w:ind w:left="600" w:hanging="600"/>
      </w:pPr>
      <w:r>
        <w:t xml:space="preserve">3.7	</w:t>
      </w:r>
      <w:r>
        <w:rPr>
          <w:b/>
          <w:bCs/>
        </w:rPr>
        <w:t xml:space="preserve">Intellectual property (Warranty 3): </w:t>
      </w:r>
      <w:r>
        <w:t xml:space="preserve">The “Calder Vale” trade mark (UK registration no. UK00003456789) is registered in the name of Robert Calder personally and will be assigned to the Target at Completion pursuant to an assignment in the agreed form.</w:t>
      </w:r>
    </w:p>
    <w:p>
      <w:pPr>
        <w:pStyle w:val="Heading1"/>
        <w:spacing w:after="100" w:before="200"/>
      </w:pPr>
      <w:r>
        <w:rPr>
          <w:b/>
          <w:bCs/>
        </w:rPr>
        <w:t xml:space="preserve">4.  Conclusion</w:t>
      </w:r>
    </w:p>
    <w:p>
      <w:pPr>
        <w:spacing w:after="120"/>
      </w:pPr>
      <w:r>
        <w:t xml:space="preserve">The disclosures in this letter are made on behalf of each of the Sellers. This letter and any dispute arising out of it are governed by the law of England and Wales.</w:t>
      </w:r>
    </w:p>
    <w:p>
      <w:pPr>
        <w:spacing w:after="120"/>
      </w:pPr>
      <w:r>
        <w:t xml:space="preserve">Yours faithfully,</w:t>
      </w:r>
    </w:p>
    <w:p>
      <w:pPr>
        <w:spacing w:after="120"/>
      </w:pPr>
      <w:r>
        <w:t xml:space="preserve">…………………………………………</w:t>
      </w:r>
    </w:p>
    <w:p>
      <w:pPr>
        <w:spacing w:after="120"/>
      </w:pPr>
      <w:r>
        <w:rPr>
          <w:b/>
          <w:bCs/>
        </w:rPr>
        <w:t xml:space="preserve">Castle &amp; Vane LLP</w:t>
      </w:r>
      <w:r>
        <w:t xml:space="preserve"> — for and on behalf of the Sellers</w:t>
      </w:r>
    </w:p>
    <w:p>
      <w:pPr>
        <w:pageBreakBefore/>
      </w:pPr>
      <w:r>
        <w:rPr>
          <w:b/>
          <w:bCs/>
        </w:rPr>
        <w:t xml:space="preserve">APPENDIX 1 — DATA ROOM INDEX (extract)</w:t>
      </w:r>
    </w:p>
    <w:p>
      <w:pPr>
        <w:spacing w:after="120"/>
      </w:pPr>
      <w:r>
        <w:t xml:space="preserve">1. Corporate: certificate of incorporation; articles of association; statutory registers; recent filings.</w:t>
      </w:r>
    </w:p>
    <w:p>
      <w:pPr>
        <w:spacing w:after="120"/>
      </w:pPr>
      <w:r>
        <w:t xml:space="preserve">2. Financial: audited accounts FY2022–FY2024; management accounts to 31 October 2025; budget FY2026.</w:t>
      </w:r>
    </w:p>
    <w:p>
      <w:pPr>
        <w:spacing w:after="120"/>
      </w:pPr>
      <w:r>
        <w:t xml:space="preserve">3. Commercial: material customer and supplier contracts, including Northborough Dairies and Pennine Cold Chain.</w:t>
      </w:r>
    </w:p>
    <w:p>
      <w:pPr>
        <w:spacing w:after="120"/>
      </w:pPr>
      <w:r>
        <w:t xml:space="preserve">4. Employment: contracts and particulars for Senior Employees; staff handbook; pension scheme documents.</w:t>
      </w:r>
    </w:p>
    <w:p>
      <w:pPr>
        <w:spacing w:after="120"/>
      </w:pPr>
      <w:r>
        <w:t xml:space="preserve">5. Property: freehold title NYK284119; lease of Keighley Road depot dated 1 May 2019.</w:t>
      </w:r>
    </w:p>
    <w:p>
      <w:pPr>
        <w:spacing w:after="120"/>
      </w:pPr>
      <w:r>
        <w:t xml:space="preserve">6. Tax: corporation-tax returns FY2022–FY2024; VAT returns; HMRC correspondence on promotional rebates.</w:t>
      </w:r>
    </w:p>
    <w:p>
      <w:pPr>
        <w:spacing w:after="120"/>
      </w:pPr>
      <w:r>
        <w:t xml:space="preserve">7. IP/IT: trade-mark registration UK00003456789; software licences and data-protection policies.</w:t>
      </w:r>
    </w:p>
    <w:p>
      <w:pPr>
        <w:spacing w:after="120"/>
      </w:pPr>
      <w:r>
        <w:t xml:space="preserve">8. Litigation: Employment Tribunal claim ET 3201884/2025 pleadings and advice.</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STRICTLY PRIVATE &amp; CONFIDENTIAL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Granite — Disclosure Letter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Granite — Disclosure Letter</dc:title>
  <dc:creator>Castle &amp; Vane LLP</dc:creator>
  <cp:lastModifiedBy>Un-named</cp:lastModifiedBy>
  <cp:revision>1</cp:revision>
  <dcterms:created xsi:type="dcterms:W3CDTF">2026-06-10T21:36:01.397Z</dcterms:created>
  <dcterms:modified xsi:type="dcterms:W3CDTF">2026-06-10T21:36:01.397Z</dcterms:modified>
</cp:coreProperties>
</file>

<file path=docProps/custom.xml><?xml version="1.0" encoding="utf-8"?>
<Properties xmlns="http://schemas.openxmlformats.org/officeDocument/2006/custom-properties" xmlns:vt="http://schemas.openxmlformats.org/officeDocument/2006/docPropsVTypes"/>
</file>