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color w:val="595959"/>
          <w:sz w:val="18"/>
          <w:szCs w:val="18"/>
        </w:rPr>
        <w:t xml:space="preserve">Our ref: SW/JO/WC-00113</w:t>
      </w:r>
    </w:p>
    <w:p>
      <w:pPr>
        <w:spacing w:after="120" w:line="276"/>
      </w:pPr>
      <w:r>
        <w:rPr>
          <w:rFonts w:ascii="Arial" w:cs="Arial" w:eastAsia="Arial" w:hAnsi="Arial"/>
        </w:rPr>
        <w:t xml:space="preserve">18 November 2025</w:t>
      </w:r>
    </w:p>
    <w:p>
      <w:pPr>
        <w:spacing w:after="120" w:line="276"/>
      </w:pPr>
      <w:r>
        <w:rPr>
          <w:rFonts w:ascii="Arial" w:cs="Arial" w:eastAsia="Arial" w:hAnsi="Arial"/>
          <w:b/>
          <w:bCs/>
        </w:rPr>
        <w:t xml:space="preserve">PRIVILEGED AND CONFIDENTIAL — PREPARED FOR THE DIRECTORS</w:t>
      </w:r>
    </w:p>
    <w:p>
      <w:pPr>
        <w:spacing w:after="120" w:line="276"/>
      </w:pPr>
      <w:r>
        <w:rPr>
          <w:rFonts w:ascii="Arial" w:cs="Arial" w:eastAsia="Arial" w:hAnsi="Arial"/>
        </w:rPr>
        <w:t xml:space="preserve">The Directors</w:t>
      </w:r>
    </w:p>
    <w:p>
      <w:pPr>
        <w:spacing w:after="120" w:line="276"/>
      </w:pPr>
      <w:r>
        <w:rPr>
          <w:rFonts w:ascii="Arial" w:cs="Arial" w:eastAsia="Arial" w:hAnsi="Arial"/>
        </w:rPr>
        <w:t xml:space="preserve">Wexford Holdings Limited and Wexford Consumer Brands Limited</w:t>
      </w:r>
    </w:p>
    <w:p>
      <w:pPr>
        <w:spacing w:after="120"/>
      </w:pPr>
    </w:p>
    <w:p>
      <w:pPr>
        <w:spacing w:after="120" w:line="276"/>
      </w:pPr>
      <w:r>
        <w:rPr>
          <w:rFonts w:ascii="Arial" w:cs="Arial" w:eastAsia="Arial" w:hAnsi="Arial"/>
          <w:b/>
          <w:bCs/>
        </w:rPr>
        <w:t xml:space="preserve">Dear Directors</w:t>
      </w:r>
    </w:p>
    <w:p>
      <w:pPr>
        <w:spacing w:after="120" w:line="276"/>
      </w:pPr>
      <w:r>
        <w:rPr>
          <w:rFonts w:ascii="Arial" w:cs="Arial" w:eastAsia="Arial" w:hAnsi="Arial"/>
          <w:b/>
          <w:bCs/>
        </w:rPr>
        <w:t xml:space="preserve">Project Tempest — directors’ duties in the context of the group’s current financial position</w:t>
      </w:r>
    </w:p>
    <w:p>
      <w:pPr>
        <w:spacing w:after="120" w:line="276"/>
      </w:pPr>
      <w:r>
        <w:rPr>
          <w:rFonts w:ascii="Arial" w:cs="Arial" w:eastAsia="Arial" w:hAnsi="Arial"/>
        </w:rPr>
        <w:t xml:space="preserve">This note advises the directors of Wexford Holdings Limited and Wexford Consumer Brands Limited (together, “the Companies”) on your duties given the breach of financial covenants under the senior facilities and the resulting financial pressure on the group. It is provided to you in your capacity as directors, is subject to legal professional privilege, and should not be circulated outside the boards without our consent. It is not a substitute for taking advice on any specific decision, on which we are happy to assist.</w:t>
      </w:r>
    </w:p>
    <w:p>
      <w:pPr>
        <w:pStyle w:val="Heading2"/>
        <w:spacing w:after="120" w:before="180"/>
      </w:pPr>
      <w:r>
        <w:rPr>
          <w:rFonts w:ascii="Arial" w:cs="Arial" w:eastAsia="Arial" w:hAnsi="Arial"/>
          <w:b/>
          <w:bCs/>
          <w:color w:val="1F3864"/>
          <w:sz w:val="24"/>
          <w:szCs w:val="24"/>
        </w:rPr>
        <w:t xml:space="preserve">1.  Summary</w:t>
      </w:r>
    </w:p>
    <w:p>
      <w:pPr>
        <w:spacing w:after="120" w:line="276"/>
      </w:pPr>
      <w:r>
        <w:rPr>
          <w:rFonts w:ascii="Arial" w:cs="Arial" w:eastAsia="Arial" w:hAnsi="Arial"/>
        </w:rPr>
        <w:t xml:space="preserve">While each company remains a going concern on the basis of the standstill and the proposed restructuring, the group is in the “zone” in which the interests of creditors become relevant to your decision-making. You should: (i) hold regular, minuted board meetings; (ii) monitor cash and solvency closely, including by reference to the rolling 13-week cashflow; (iii) ensure the group does not incur credit it has no reasonable prospect of repaying; (iv) take and act on professional advice; and (v) treat creditors even-handedly. Provided you do so and the restructuring proceeds, the risk of personal liability is low.</w:t>
      </w:r>
    </w:p>
    <w:p>
      <w:pPr>
        <w:pStyle w:val="Heading2"/>
        <w:spacing w:after="120" w:before="180"/>
      </w:pPr>
      <w:r>
        <w:rPr>
          <w:rFonts w:ascii="Arial" w:cs="Arial" w:eastAsia="Arial" w:hAnsi="Arial"/>
          <w:b/>
          <w:bCs/>
          <w:color w:val="1F3864"/>
          <w:sz w:val="24"/>
          <w:szCs w:val="24"/>
        </w:rPr>
        <w:t xml:space="preserve">2.  The general duties (Companies Act 2006)</w:t>
      </w:r>
    </w:p>
    <w:p>
      <w:pPr>
        <w:spacing w:after="120" w:line="276"/>
      </w:pPr>
      <w:r>
        <w:rPr>
          <w:rFonts w:ascii="Arial" w:cs="Arial" w:eastAsia="Arial" w:hAnsi="Arial"/>
        </w:rPr>
        <w:t xml:space="preserve">Your statutory duties include the duty to act within your powers (s.171), to promote the success of the company for the benefit of its members as a whole (s.172), to exercise independent judgment (s.173), to exercise reasonable care, skill and diligence (s.174), to avoid conflicts of interest (s.175) and to declare interests in proposed transactions (s.177).</w:t>
      </w:r>
    </w:p>
    <w:p>
      <w:pPr>
        <w:spacing w:after="120" w:line="276"/>
      </w:pPr>
      <w:r>
        <w:rPr>
          <w:rFonts w:ascii="Arial" w:cs="Arial" w:eastAsia="Arial" w:hAnsi="Arial"/>
        </w:rPr>
        <w:t xml:space="preserve">Critically, s.172(3) provides that the duty to promote the success of the company is subject to any rule of law requiring directors, in certain circumstances, to consider or act in the interests of creditors. The Supreme Court confirmed in BTI 2014 LLC v Sequana SA [2022] UKSC 25 that this “creditor duty” is engaged when the company is insolvent or bordering on insolvency, or when an insolvent liquidation or administration is probable. As that point approaches, the weight to be given to creditors’ interests increases; where insolvency is inevitable, their interests become paramount. In the group’s current position the creditor duty is, in our view, engaged, and you should weight creditors’ interests accordingly when taking material decisions.</w:t>
      </w:r>
    </w:p>
    <w:p>
      <w:pPr>
        <w:pStyle w:val="Heading2"/>
        <w:spacing w:after="120" w:before="180"/>
      </w:pPr>
      <w:r>
        <w:rPr>
          <w:rFonts w:ascii="Arial" w:cs="Arial" w:eastAsia="Arial" w:hAnsi="Arial"/>
          <w:b/>
          <w:bCs/>
          <w:color w:val="1F3864"/>
          <w:sz w:val="24"/>
          <w:szCs w:val="24"/>
        </w:rPr>
        <w:t xml:space="preserve">3.  Wrongful trading (s.214 Insolvency Act 1986)</w:t>
      </w:r>
    </w:p>
    <w:p>
      <w:pPr>
        <w:spacing w:after="120" w:line="276"/>
      </w:pPr>
      <w:r>
        <w:rPr>
          <w:rFonts w:ascii="Arial" w:cs="Arial" w:eastAsia="Arial" w:hAnsi="Arial"/>
        </w:rPr>
        <w:t xml:space="preserve">If a company goes into insolvent liquidation or administration, a director may be ordered to contribute to the company’s assets if, at some time before the commencement of the winding up, the director knew or ought to have concluded that there was no reasonable prospect of avoiding insolvent liquidation or administration, and thereafter failed to take every step to minimise the potential loss to creditors that they ought to have taken. The standard is that of a reasonably diligent person having both the general knowledge, skill and experience reasonably expected of a person carrying out the director’s functions and the actual knowledge, skill and experience that the director has.</w:t>
      </w:r>
    </w:p>
    <w:p>
      <w:pPr>
        <w:spacing w:after="120" w:line="276"/>
      </w:pPr>
      <w:r>
        <w:rPr>
          <w:rFonts w:ascii="Arial" w:cs="Arial" w:eastAsia="Arial" w:hAnsi="Arial"/>
        </w:rPr>
        <w:t xml:space="preserve">The “every step” defence is central. Continuing to trade is not, of itself, wrongful trading; directors frequently and properly trade through difficulty where there is a realistic prospect of a solvent outcome, such as the restructuring contemplated here. What matters is that you keep the position under active review, take advice, and are able to demonstrate that continued trading was a reasonable decision aimed at a better outcome for creditors as a whole.</w:t>
      </w:r>
    </w:p>
    <w:p>
      <w:pPr>
        <w:pStyle w:val="Heading2"/>
        <w:spacing w:after="120" w:before="180"/>
      </w:pPr>
      <w:r>
        <w:rPr>
          <w:rFonts w:ascii="Arial" w:cs="Arial" w:eastAsia="Arial" w:hAnsi="Arial"/>
          <w:b/>
          <w:bCs/>
          <w:color w:val="1F3864"/>
          <w:sz w:val="24"/>
          <w:szCs w:val="24"/>
        </w:rPr>
        <w:t xml:space="preserve">4.  Misfeasance, preferences and transactions at an undervalue</w:t>
      </w:r>
    </w:p>
    <w:p>
      <w:pPr>
        <w:spacing w:after="120" w:line="276"/>
      </w:pPr>
      <w:r>
        <w:rPr>
          <w:rFonts w:ascii="Arial" w:cs="Arial" w:eastAsia="Arial" w:hAnsi="Arial"/>
        </w:rPr>
        <w:t xml:space="preserve">You should also be alert to: (i) misfeasance claims under s.212 IA 1986 for breach of duty; (ii) preferences under s.239 IA 1986 — do not put any creditor (including connected creditors and the directors) in a better position than they would otherwise be, in the desire to prefer them; and (iii) transactions at an undervalue under s.238 IA 1986. The shareholder contribution and the new money are being documented on arm’s-length terms and approved by the boards, which mitigates these risks; the subordinated shareholder loan should rank behind the senior and super-senior debt, as contemplated by the intercreditor arrangements.</w:t>
      </w:r>
    </w:p>
    <w:p>
      <w:pPr>
        <w:pStyle w:val="Heading2"/>
        <w:spacing w:after="120" w:before="180"/>
      </w:pPr>
      <w:r>
        <w:rPr>
          <w:rFonts w:ascii="Arial" w:cs="Arial" w:eastAsia="Arial" w:hAnsi="Arial"/>
          <w:b/>
          <w:bCs/>
          <w:color w:val="1F3864"/>
          <w:sz w:val="24"/>
          <w:szCs w:val="24"/>
        </w:rPr>
        <w:t xml:space="preserve">5.  Practical steps</w:t>
      </w:r>
    </w:p>
    <w:p>
      <w:pPr>
        <w:pStyle w:val="ListParagraph"/>
        <w:numPr>
          <w:ilvl w:val="0"/>
          <w:numId w:val="2"/>
        </w:numPr>
        <w:spacing w:after="80" w:line="276"/>
      </w:pPr>
      <w:r>
        <w:rPr>
          <w:rFonts w:ascii="Arial" w:cs="Arial" w:eastAsia="Arial" w:hAnsi="Arial"/>
        </w:rPr>
        <w:t xml:space="preserve">Hold board meetings at least fortnightly during the restructuring and keep full minutes recording the information considered and the reasons for decisions, in particular the rationale for continuing to trade.</w:t>
      </w:r>
    </w:p>
    <w:p>
      <w:pPr>
        <w:pStyle w:val="ListParagraph"/>
        <w:numPr>
          <w:ilvl w:val="0"/>
          <w:numId w:val="2"/>
        </w:numPr>
        <w:spacing w:after="80" w:line="276"/>
      </w:pPr>
      <w:r>
        <w:rPr>
          <w:rFonts w:ascii="Arial" w:cs="Arial" w:eastAsia="Arial" w:hAnsi="Arial"/>
        </w:rPr>
        <w:t xml:space="preserve">Monitor solvency on both the cash-flow and balance-sheet tests, using the rolling 13-week cashflow prepared with Marlow and reviewed weekly.</w:t>
      </w:r>
    </w:p>
    <w:p>
      <w:pPr>
        <w:pStyle w:val="ListParagraph"/>
        <w:numPr>
          <w:ilvl w:val="0"/>
          <w:numId w:val="2"/>
        </w:numPr>
        <w:spacing w:after="80" w:line="276"/>
      </w:pPr>
      <w:r>
        <w:rPr>
          <w:rFonts w:ascii="Arial" w:cs="Arial" w:eastAsia="Arial" w:hAnsi="Arial"/>
        </w:rPr>
        <w:t xml:space="preserve">Do not incur new credit, accept deposits or take payment in advance where there is no reasonable prospect of performance or repayment.</w:t>
      </w:r>
    </w:p>
    <w:p>
      <w:pPr>
        <w:pStyle w:val="ListParagraph"/>
        <w:numPr>
          <w:ilvl w:val="0"/>
          <w:numId w:val="2"/>
        </w:numPr>
        <w:spacing w:after="80" w:line="276"/>
      </w:pPr>
      <w:r>
        <w:rPr>
          <w:rFonts w:ascii="Arial" w:cs="Arial" w:eastAsia="Arial" w:hAnsi="Arial"/>
        </w:rPr>
        <w:t xml:space="preserve">Pay close attention to the position of trade creditors, HMRC (PAYE/NIC and VAT) and employees; avoid any step that could be challenged as a preference.</w:t>
      </w:r>
    </w:p>
    <w:p>
      <w:pPr>
        <w:pStyle w:val="ListParagraph"/>
        <w:numPr>
          <w:ilvl w:val="0"/>
          <w:numId w:val="2"/>
        </w:numPr>
        <w:spacing w:after="80" w:line="276"/>
      </w:pPr>
      <w:r>
        <w:rPr>
          <w:rFonts w:ascii="Arial" w:cs="Arial" w:eastAsia="Arial" w:hAnsi="Arial"/>
        </w:rPr>
        <w:t xml:space="preserve">Take and record professional advice (legal, financial and, if appropriate, insolvency advice) before any material decision, and keep this note under review as circumstances change.</w:t>
      </w:r>
    </w:p>
    <w:p>
      <w:pPr>
        <w:spacing w:after="120" w:line="276"/>
      </w:pPr>
      <w:r>
        <w:rPr>
          <w:rFonts w:ascii="Arial" w:cs="Arial" w:eastAsia="Arial" w:hAnsi="Arial"/>
        </w:rPr>
        <w:t xml:space="preserve">If at any point you consider that the restructuring is unlikely to complete, or that there is no longer a reasonable prospect of avoiding insolvent liquidation or administration, you must take immediate advice. We are available at any time to assist.</w:t>
      </w:r>
    </w:p>
    <w:p>
      <w:pPr>
        <w:spacing w:after="120"/>
      </w:pPr>
    </w:p>
    <w:p>
      <w:pPr>
        <w:spacing w:after="120" w:line="276"/>
      </w:pPr>
      <w:r>
        <w:rPr>
          <w:rFonts w:ascii="Arial" w:cs="Arial" w:eastAsia="Arial" w:hAnsi="Arial"/>
        </w:rPr>
        <w:t xml:space="preserve">Yours faithfully</w:t>
      </w:r>
    </w:p>
    <w:p>
      <w:pPr>
        <w:spacing w:after="120"/>
      </w:pPr>
    </w:p>
    <w:p>
      <w:pPr>
        <w:spacing w:after="120" w:line="276"/>
      </w:pPr>
      <w:r>
        <w:rPr>
          <w:rFonts w:ascii="Arial" w:cs="Arial" w:eastAsia="Arial" w:hAnsi="Arial"/>
          <w:b/>
          <w:bCs/>
        </w:rP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Privileged &amp; confidential — prepared for the directors</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2026-06-10T23:11:41.337Z</dcterms:created>
  <dcterms:modified xsi:type="dcterms:W3CDTF">2026-06-10T23:11:41.337Z</dcterms:modified>
</cp:coreProperties>
</file>

<file path=docProps/custom.xml><?xml version="1.0" encoding="utf-8"?>
<Properties xmlns="http://schemas.openxmlformats.org/officeDocument/2006/custom-properties" xmlns:vt="http://schemas.openxmlformats.org/officeDocument/2006/docPropsVTypes"/>
</file>