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CONFIDENTIAL AND PRIVILEGED</w:t>
      </w:r>
    </w:p>
    <w:p>
      <w:pPr>
        <w:spacing w:after="120"/>
        <w:jc w:val="center"/>
      </w:pPr>
      <w:r>
        <w:rPr>
          <w:b/>
          <w:bCs/>
        </w:rPr>
        <w:t xml:space="preserve">WEXFORD CONSUMER BRANDS LIMITED v PINNACLE SYSTEMS LIMITED</w:t>
      </w:r>
    </w:p>
    <w:p>
      <w:pPr>
        <w:spacing w:after="120"/>
        <w:jc w:val="center"/>
      </w:pPr>
      <w:r>
        <w:rPr>
          <w:b/>
          <w:bCs/>
        </w:rPr>
        <w:t xml:space="preserve">ADVICE ON THE MERITS</w:t>
      </w:r>
    </w:p>
    <w:p>
      <w:pPr>
        <w:spacing w:after="160"/>
      </w:pPr>
      <w:r>
        <w:rPr>
          <w:i/>
          <w:iCs/>
          <w:sz w:val="18"/>
          <w:szCs w:val="18"/>
        </w:rPr>
        <w:t xml:space="preserve">Counsel: Harriet Stanford, Eldon Chambers. Instructing solicitors: Whitfield Carter LLP. Date: 3 March 2025.</w:t>
      </w:r>
    </w:p>
    <w:p>
      <w:pPr>
        <w:pStyle w:val="Heading2"/>
      </w:pPr>
      <w:r>
        <w:t xml:space="preserve">Introduction</w:t>
      </w:r>
    </w:p>
    <w:p>
      <w:pPr>
        <w:pStyle w:val="ListParagraph"/>
        <w:numPr>
          <w:ilvl w:val="0"/>
          <w:numId w:val="2"/>
        </w:numPr>
        <w:spacing w:after="120"/>
      </w:pPr>
      <w:r>
        <w:t xml:space="preserve">I am asked to advise Wexford Consumer Brands Limited (“Wexford”) on the merits of its proposed claim against Pinnacle Systems Limited (“Pinnacle”) arising from the failed implementation of the Pinnacle ERP/WMS platform, and in particular on (i) liability, (ii) the principal obstacle to recovery, namely the limitation of liability clause, and (iii) the realistic value of the claim.</w:t>
      </w:r>
    </w:p>
    <w:p>
      <w:pPr>
        <w:pStyle w:val="Heading2"/>
      </w:pPr>
      <w:r>
        <w:t xml:space="preserve">Liability</w:t>
      </w:r>
    </w:p>
    <w:p>
      <w:pPr>
        <w:pStyle w:val="ListParagraph"/>
        <w:numPr>
          <w:ilvl w:val="0"/>
          <w:numId w:val="2"/>
        </w:numPr>
        <w:spacing w:after="120"/>
      </w:pPr>
      <w:r>
        <w:t xml:space="preserve">In my view Wexford has a strong claim on breach. The contemporaneous UAT records — 41 of 96 critical scripts failing in August 2024 — are powerful evidence that the System did not conform to the Solution Design Document, and the nine-day despatch shutdown at Banbury is compelling evidence of a System that was not fit to go live. The clearest route is the implied term of reasonable care and skill (s.13 SGSA 1982), reinforced by the express conformity warranty at clause 5.2 and the lot-traceability warranty at clause 11.</w:t>
      </w:r>
    </w:p>
    <w:p>
      <w:pPr>
        <w:pStyle w:val="ListParagraph"/>
        <w:numPr>
          <w:ilvl w:val="0"/>
          <w:numId w:val="2"/>
        </w:numPr>
        <w:spacing w:after="120"/>
      </w:pPr>
      <w:r>
        <w:t xml:space="preserve">Pinnacle’s defence will be one of shared responsibility: late and poor master data, unavailable SMEs, and unfunded process changes. This is a real point and is supported by Pinnacle’s Highlight Reports. It will not defeat liability but it is highly relevant to causation and to any allocation, and it is the reason I would not put Wexford’s prospects above 65–70%. The go-live decision is a double-edged sword: Pinnacle will say the Board (including Mr Doyle) approved it; Wexford will say Pinnacle, as the expert, should never have recommended go-live and cannot shelter behind a client’s reliance on its assurances. On balance I prefer Wexford’s analysis, but it is litigable.</w:t>
      </w:r>
    </w:p>
    <w:p>
      <w:pPr>
        <w:pStyle w:val="Heading2"/>
      </w:pPr>
      <w:r>
        <w:t xml:space="preserve">The limitation clause — the real battleground</w:t>
      </w:r>
    </w:p>
    <w:p>
      <w:pPr>
        <w:pStyle w:val="ListParagraph"/>
        <w:numPr>
          <w:ilvl w:val="0"/>
          <w:numId w:val="2"/>
        </w:numPr>
        <w:spacing w:after="120"/>
      </w:pPr>
      <w:r>
        <w:t xml:space="preserve">Clause 22 is the heart of the case. It does two things: clause 22.2 excludes “indirect and consequential loss” and clause 22.3 caps aggregate liability at the total charges paid (here, the sums Wexford actually paid Pinnacle before termination). Realistically:</w:t>
      </w:r>
    </w:p>
    <w:p>
      <w:pPr>
        <w:pStyle w:val="ListParagraph"/>
        <w:numPr>
          <w:ilvl w:val="0"/>
          <w:numId w:val="3"/>
        </w:numPr>
        <w:spacing w:after="80"/>
      </w:pPr>
      <w:r>
        <w:t xml:space="preserve">The exclusion of indirect/consequential loss is likely to be upheld between commercial parties; the difficult question is whether Wexford’s lost profit from the Banbury shutdown is direct loss (first limb of Hadley v Baxendale) or indirect. There is a respectable argument that operational losses flowing naturally from a System that halts despatch are direct, but it is not free from doubt.</w:t>
      </w:r>
    </w:p>
    <w:p>
      <w:pPr>
        <w:pStyle w:val="ListParagraph"/>
        <w:numPr>
          <w:ilvl w:val="0"/>
          <w:numId w:val="3"/>
        </w:numPr>
        <w:spacing w:after="80"/>
      </w:pPr>
      <w:r>
        <w:t xml:space="preserve">The cap is more vulnerable. We will argue it fails the UCTA 1977 reasonableness test, but I must be candid: caps set at the contract price, between advised commercial parties, are frequently held reasonable (St Albans, Watford Electronics, and more recently the software cases). I would not advise Wexford that the cap is likely to be struck down. The better strategy is to maximise the sums that fall within the cap and to deploy the cap as negotiating leverage rather than to bet the case on defeating it.</w:t>
      </w:r>
    </w:p>
    <w:p>
      <w:pPr>
        <w:pStyle w:val="Heading2"/>
      </w:pPr>
      <w:r>
        <w:t xml:space="preserve">Quantum and realistic outcome</w:t>
      </w:r>
    </w:p>
    <w:p>
      <w:pPr>
        <w:pStyle w:val="ListParagraph"/>
        <w:numPr>
          <w:ilvl w:val="0"/>
          <w:numId w:val="2"/>
        </w:numPr>
        <w:spacing w:after="120"/>
      </w:pPr>
      <w:r>
        <w:t xml:space="preserve">The pleaded claim is £3.81m. If the cap holds, Wexford’s recovery is in practice limited to the charges paid (in the order of £1.4–1.6m depending on what was invoiced and paid before termination), less any sum due to Pinnacle on its counterclaim of c.£214,800. If we defeat or circumvent the cap, the wasted-expenditure and replacement-cost heads (c.£2.6m) are well-evidenced; the lost-profit head is the most exposed.</w:t>
      </w:r>
    </w:p>
    <w:p>
      <w:pPr>
        <w:pStyle w:val="ListParagraph"/>
        <w:numPr>
          <w:ilvl w:val="0"/>
          <w:numId w:val="2"/>
        </w:numPr>
        <w:spacing w:after="120"/>
      </w:pPr>
      <w:r>
        <w:t xml:space="preserve">My realistic assessment is that this is a case that should settle. A negotiated outcome in the region of £1.2m–£1.8m net of the counterclaim would, in my view, be a good result for Wexford and reflects the litigation risk on the cap. I would advise Wexford to make a Part 36 offer in that region after disclosure, once the UAT and defect data are before the other side.</w:t>
      </w:r>
    </w:p>
    <w:p>
      <w:pPr>
        <w:pStyle w:val="Heading2"/>
      </w:pPr>
      <w:r>
        <w:t xml:space="preserve">Recommendation</w:t>
      </w:r>
    </w:p>
    <w:p>
      <w:pPr>
        <w:pStyle w:val="ListParagraph"/>
        <w:numPr>
          <w:ilvl w:val="0"/>
          <w:numId w:val="2"/>
        </w:numPr>
        <w:spacing w:after="120"/>
      </w:pPr>
      <w:r>
        <w:t xml:space="preserve">Issue and serve. Pursue Extended Disclosure of the project records and system logs, which strongly favour Wexford. Instruct a software-implementation expert early. Keep the door to mediation open and aim to resolve the matter at a mediation after disclosure. I am happy to advise further in conference.</w:t>
      </w:r>
    </w:p>
    <w:p>
      <w:r>
        <w:t xml:space="preserve"/>
      </w:r>
    </w:p>
    <w:p>
      <w:pPr>
        <w:spacing w:after="120"/>
      </w:pPr>
      <w:r>
        <w:t xml:space="preserve">HARRIET STANFORD</w:t>
      </w:r>
    </w:p>
    <w:p>
      <w:pPr>
        <w:spacing w:after="120"/>
        <w:rPr>
          <w:i/>
          <w:iCs/>
        </w:rPr>
      </w:pPr>
      <w:r>
        <w:rPr>
          <w:i/>
          <w:iCs/>
        </w:rPr>
        <w:t xml:space="preserve">Eldon Chambers, 3 March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lowerLetter"/>
      <w:lvlText w:val="(%1)"/>
      <w:lvlJc w:val="left"/>
      <w:pPr>
        <w:ind w:left="1134" w:hanging="567"/>
      </w:pPr>
    </w:lvl>
  </w:abstractNum>
  <w:abstractNum w:abstractNumId="4" w15:restartNumberingAfterBreak="0">
    <w:multiLevelType w:val="hybridMultilevel"/>
    <w:lvl w:ilvl="0" w15:tentative="1">
      <w:start w:val="1"/>
      <w:numFmt w:val="lowerRoman"/>
      <w:lvlText w:val="(%1)"/>
      <w:lvlJc w:val="left"/>
      <w:pPr>
        <w:ind w:left="1701" w:hanging="567"/>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2026-06-25T18:03:20.229Z</dcterms:created>
  <dcterms:modified xsi:type="dcterms:W3CDTF">2026-06-25T18:03:20.229Z</dcterms:modified>
</cp:coreProperties>
</file>

<file path=docProps/custom.xml><?xml version="1.0" encoding="utf-8"?>
<Properties xmlns="http://schemas.openxmlformats.org/officeDocument/2006/custom-properties" xmlns:vt="http://schemas.openxmlformats.org/officeDocument/2006/docPropsVTypes"/>
</file>