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rPr>
          <w:sz w:val="18"/>
          <w:szCs w:val="18"/>
        </w:rPr>
      </w:pPr>
      <w:r>
        <w:rPr>
          <w:sz w:val="18"/>
          <w:szCs w:val="18"/>
        </w:rPr>
        <w:t xml:space="preserve">Our ref: SJW/EM/WC-00123</w:t>
      </w:r>
    </w:p>
    <w:p>
      <w:pPr>
        <w:spacing w:after="120"/>
        <w:rPr>
          <w:sz w:val="18"/>
          <w:szCs w:val="18"/>
        </w:rPr>
      </w:pPr>
      <w:r>
        <w:rPr>
          <w:sz w:val="18"/>
          <w:szCs w:val="18"/>
        </w:rPr>
        <w:t xml:space="preserve">Your ref: RPC/0488/PSL</w:t>
      </w:r>
    </w:p>
    <w:p>
      <w:r>
        <w:t xml:space="preserve"/>
      </w:r>
    </w:p>
    <w:p>
      <w:pPr>
        <w:spacing w:after="120"/>
      </w:pPr>
      <w:r>
        <w:t xml:space="preserve">Stratford Coyle LLP</w:t>
      </w:r>
    </w:p>
    <w:p>
      <w:pPr>
        <w:spacing w:after="120"/>
      </w:pPr>
      <w:r>
        <w:t xml:space="preserve">Thames Court, 1 Mill Lane, Reading RG1 8DT</w:t>
      </w:r>
    </w:p>
    <w:p>
      <w:pPr>
        <w:spacing w:after="120"/>
      </w:pPr>
      <w:r>
        <w:t xml:space="preserve">By email only</w:t>
      </w:r>
    </w:p>
    <w:p>
      <w:r>
        <w:t xml:space="preserve"/>
      </w:r>
    </w:p>
    <w:p>
      <w:pPr>
        <w:spacing w:after="120"/>
      </w:pPr>
      <w:r>
        <w:t xml:space="preserve">25 August 2025</w:t>
      </w:r>
    </w:p>
    <w:p>
      <w:r>
        <w:t xml:space="preserve"/>
      </w:r>
    </w:p>
    <w:p>
      <w:pPr>
        <w:spacing w:after="120"/>
      </w:pPr>
      <w:r>
        <w:t xml:space="preserve">Dear Sirs</w:t>
      </w:r>
    </w:p>
    <w:p>
      <w:r>
        <w:t xml:space="preserve"/>
      </w:r>
    </w:p>
    <w:p>
      <w:pPr>
        <w:spacing w:after="120"/>
        <w:jc w:val="center"/>
      </w:pPr>
      <w:r>
        <w:rPr>
          <w:b/>
          <w:bCs/>
        </w:rPr>
        <w:t xml:space="preserve">Wexford Consumer Brands Limited v Pinnacle Systems Limited — Claim No. CC-2025-LON-000512</w:t>
      </w:r>
    </w:p>
    <w:p>
      <w:pPr>
        <w:spacing w:after="120"/>
        <w:jc w:val="center"/>
      </w:pPr>
      <w:r>
        <w:rPr>
          <w:b/>
          <w:bCs/>
        </w:rPr>
        <w:t xml:space="preserve">Costs and Case Management Conference — proposed directions</w:t>
      </w:r>
    </w:p>
    <w:p>
      <w:r>
        <w:t xml:space="preserve"/>
      </w:r>
    </w:p>
    <w:p>
      <w:pPr>
        <w:spacing w:after="120"/>
      </w:pPr>
      <w:r>
        <w:t xml:space="preserve">We write ahead of the CCMC listed for 18 September 2025. With a view to narrowing the issues and agreeing directions, we set out our client’s proposals below and enclose our draft directions and our client’s Precedent H costs budget.</w:t>
      </w:r>
    </w:p>
    <w:p>
      <w:pPr>
        <w:pStyle w:val="Heading2"/>
      </w:pPr>
      <w:r>
        <w:t xml:space="preserve">1. Disclosure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Given that this is in substance a software-implementation dispute turning on contemporaneous project documentation, we propose Extended Disclosure under Practice Direction 57AD by reference to the agreed List of Issues for Disclosure enclosed. Model C requests are likely to be appropriate for the project Highlight Reports, the UAT test logs and the defect-tracking records (including the JIRA/ServiceNow export), and for the Project Board minutes and the go-live approval chain.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We anticipate that the parties will need to give disclosure of structured data and system logs. We propose the parties exchange a short Disclosure Review Document and agree search terms and date ranges by 17 October 2025, with Extended Disclosure by 12 December 2025.</w:t>
      </w:r>
    </w:p>
    <w:p>
      <w:pPr>
        <w:pStyle w:val="Heading2"/>
      </w:pPr>
      <w:r>
        <w:t xml:space="preserve">2. Factual and expert evidence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We propose exchange of witness statements by 30 January 2026. Our client presently intends to call its Operations Director and its Group IT Director.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This is a case in which the Court will be assisted by expert evidence from a single discipline, namely IT / software-implementation. We propose one expert per party, with reports exchanged by 27 March 2026, a without-prejudice experts’ discussion and joint statement by 24 April 2026, and permission for the experts to give oral evidence at trial. If your client prefers a single joint expert we are willing to discuss it, though given the value and the factual disagreement we doubt it is suitable.</w:t>
      </w:r>
    </w:p>
    <w:p>
      <w:pPr>
        <w:pStyle w:val="Heading2"/>
      </w:pPr>
      <w:r>
        <w:t xml:space="preserve">3. Trial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We estimate a trial of 5 days (plus judicial pre-reading), suitable for the Circuit Commercial Court, with a trial window in the second quarter of 2027. We propose a pre-trial review approximately eight weeks before trial.</w:t>
      </w:r>
    </w:p>
    <w:p>
      <w:pPr>
        <w:pStyle w:val="Heading2"/>
      </w:pPr>
      <w:r>
        <w:t xml:space="preserve">4. ADR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Our client remains willing to mediate and proposes the parties exchange names of three potential mediators with a view to a mediation in the first quarter of 2026, after disclosure. Please confirm your client’s position so that we can record it in the directions.</w:t>
      </w:r>
    </w:p>
    <w:p>
      <w:r>
        <w:t xml:space="preserve"/>
      </w:r>
    </w:p>
    <w:p>
      <w:pPr>
        <w:spacing w:after="120"/>
      </w:pPr>
      <w:r>
        <w:t xml:space="preserve">We should be grateful if you would let us have your comments on the enclosed draft directions by 8 September 2025 so that, so far as possible, we can put agreed directions before the Court.</w:t>
      </w:r>
    </w:p>
    <w:p>
      <w:r>
        <w:t xml:space="preserve"/>
      </w:r>
    </w:p>
    <w:p>
      <w:pPr>
        <w:spacing w:after="120"/>
      </w:pPr>
      <w:r>
        <w:t xml:space="preserve">Yours faithfully</w:t>
      </w:r>
    </w:p>
    <w:p>
      <w:r>
        <w:t xml:space="preserve"/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Whitfield Carter LLP</w:t>
      </w:r>
    </w:p>
    <w:p>
      <w:r>
        <w:t xml:space="preserve"/>
      </w:r>
    </w:p>
    <w:p>
      <w:pPr>
        <w:spacing w:after="120"/>
        <w:rPr>
          <w:sz w:val="18"/>
          <w:szCs w:val="18"/>
        </w:rPr>
      </w:pPr>
      <w:r>
        <w:rPr>
          <w:sz w:val="18"/>
          <w:szCs w:val="18"/>
        </w:rPr>
        <w:t xml:space="preserve">Enc.  Draft directions; List of Issues for Disclosure; Precedent H costs budget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026"/>
      </w:tabs>
    </w:pPr>
    <w:r>
      <w:rPr>
        <w:color w:val="808080"/>
        <w:sz w:val="14"/>
        <w:szCs w:val="14"/>
      </w:rPr>
      <w:t xml:space="preserve">WC-00123   Confidential and may be legally privileged.</w:t>
    </w:r>
    <w:r>
      <w:rPr>
        <w:color w:val="808080"/>
        <w:sz w:val="14"/>
        <w:szCs w:val="14"/>
      </w:rPr>
      <w:t xml:space="preserve">	Page </w:t>
    </w:r>
    <w:r>
      <w:rPr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4"/>
        <w:szCs w:val="14"/>
      </w:rPr>
      <w:t xml:space="preserve"> of </w:t>
    </w:r>
    <w:r>
      <w:rPr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b/>
        <w:bCs/>
        <w:color w:val="1F3864"/>
        <w:sz w:val="26"/>
        <w:szCs w:val="26"/>
      </w:rPr>
      <w:t xml:space="preserve">WHITFIELD CARTER LLP</w:t>
    </w:r>
  </w:p>
  <w:p>
    <w:pPr>
      <w:spacing w:after="0"/>
      <w:jc w:val="right"/>
    </w:pPr>
    <w:r>
      <w:rPr>
        <w:color w:val="595959"/>
        <w:sz w:val="16"/>
        <w:szCs w:val="16"/>
      </w:rPr>
      <w:t xml:space="preserve">22 Bishopsgate, London EC2N 4BQ</w:t>
    </w:r>
  </w:p>
  <w:p>
    <w:pPr>
      <w:pBdr>
        <w:bottom w:val="single" w:color="1F3864" w:sz="6" w:space="4"/>
      </w:pBdr>
      <w:spacing w:after="120"/>
      <w:jc w:val="right"/>
    </w:pPr>
    <w:r>
      <w:rPr>
        <w:color w:val="595959"/>
        <w:sz w:val="16"/>
        <w:szCs w:val="16"/>
      </w:rPr>
      <w:t xml:space="preserve">T +44 (0)20 7946 5500   |   www.whitfieldcarter.com   |   DX 88412 London Wall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567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134" w:hanging="567"/>
      </w:pPr>
    </w:lvl>
  </w:abstractNum>
  <w:abstractNum w:abstractNumId="4" w15:restartNumberingAfterBreak="0">
    <w:multiLevelType w:val="hybridMultilevel"/>
    <w:lvl w:ilvl="0" w15:tentative="1">
      <w:start w:val="1"/>
      <w:numFmt w:val="lowerRoman"/>
      <w:lvlText w:val="(%1)"/>
      <w:lvlJc w:val="left"/>
      <w:pPr>
        <w:ind w:left="1701" w:hanging="567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2026-06-25T18:03:20.214Z</dcterms:created>
  <dcterms:modified xsi:type="dcterms:W3CDTF">2026-06-25T18:03:20.214Z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