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COMPLETION CHECKLIST</w:t>
      </w:r>
    </w:p>
    <w:p>
      <w:pPr>
        <w:spacing w:after="200"/>
        <w:jc w:val="center"/>
      </w:pPr>
      <w:r>
        <w:rPr>
          <w:sz w:val="20"/>
          <w:szCs w:val="20"/>
        </w:rPr>
        <w:t xml:space="preserve">Grant of lease — Pinnacle House, Leeds — Completion 29 September 2024</w:t>
      </w:r>
    </w:p>
    <w:p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Matter ref: SW/EM/HAL0191. Acting for the Landlord, Halgarth Estates Limited.</w:t>
      </w:r>
    </w:p>
    <w:p>
      <w:pPr>
        <w:pStyle w:val="Heading2"/>
      </w:pPr>
      <w:r>
        <w:t xml:space="preserve">A. Pre-completion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2300"/>
        <w:gridCol w:w="18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Agreement for lease exchanged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 / Pemberton Rowe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30 Aug 2024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LTA 1954 contracting-out notice served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19 Aug 2024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Tenant’s declaration received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Pemberton Rowe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23 Aug 2024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Lease and counterpart engrossed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Rent deposit deed engrossed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Schedule of condition agreed and annexed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 / Calderbank Vine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OS1 priority search at Land Registry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expires 4 Nov 2024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Bankruptcy / company search against Tenant &amp; Guarantor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clear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Board minutes / authority of Landlord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Halgarth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Lender (Clydesford Bank) consent to letting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Done — 14 Sep 2024</w:t>
            </w:r>
          </w:p>
        </w:tc>
      </w:tr>
    </w:tbl>
    <w:p>
      <w:pPr>
        <w:pStyle w:val="Heading2"/>
      </w:pPr>
      <w:r>
        <w:t xml:space="preserve">B.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2300"/>
        <w:gridCol w:w="18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Lease executed by Tenant &amp; Guarantor delivered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Pemberton Rowe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Counterpart lease executed by Landlord delivered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Rent deposit (£183,750 + VAT) received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 rent demand diarised (29 Jun 2025)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 / Agents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Diarised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Side letter (rent-free) exchanged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</w:tbl>
    <w:p>
      <w:pPr>
        <w:pStyle w:val="Heading2"/>
      </w:pPr>
      <w:r>
        <w:t xml:space="preserve">C.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2300"/>
        <w:gridCol w:w="18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SDLT return submitted (Tenant)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Pemberton Rowe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Within 14 days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Registration of lease at Land Registry (term &gt; 7 yrs)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Pemberton Rowe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Within priority period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Notice of lease to managing agents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Landlord’s tenancy schedule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 / Halgarth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Closing report and bill to client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</w:pPr>
    <w:r>
      <w:rPr>
        <w:color w:val="666666"/>
        <w:sz w:val="14"/>
        <w:szCs w:val="14"/>
      </w:rPr>
      <w:t xml:space="preserve">Whitfield Carter LLP is a limited liability partnership registered in England and Wales. Confidential and may be legally privileged.</w:t>
    </w:r>
  </w:p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850" w:hanging="550"/>
      </w:pPr>
    </w:lvl>
    <w:lvl w:ilvl="2" w15:tentative="1">
      <w:start w:val="1"/>
      <w:numFmt w:val="lowerLetter"/>
      <w:lvlText w:val="(%3)"/>
      <w:lvlJc w:val="left"/>
      <w:pPr>
        <w:ind w:left="1300" w:hanging="4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2026-06-30T11:16:23.228Z</dcterms:created>
  <dcterms:modified xsi:type="dcterms:W3CDTF">2026-06-30T11:16:23.228Z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