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AA0000"/>
          <w:sz w:val="20"/>
          <w:szCs w:val="20"/>
        </w:rPr>
        <w:t xml:space="preserve">SUBJECT TO CONTRACT — SUBJECT TO LEASE</w:t>
      </w:r>
    </w:p>
    <w:p>
      <w:pPr>
        <w:spacing w:after="40"/>
        <w:jc w:val="center"/>
      </w:pPr>
      <w:r>
        <w:rPr>
          <w:b/>
          <w:bCs/>
          <w:sz w:val="30"/>
          <w:szCs w:val="30"/>
        </w:rPr>
        <w:t xml:space="preserve">HEADS OF TERMS</w:t>
      </w:r>
    </w:p>
    <w:p>
      <w:pPr>
        <w:spacing w:after="200"/>
        <w:jc w:val="center"/>
      </w:pPr>
      <w:r>
        <w:rPr>
          <w:sz w:val="20"/>
          <w:szCs w:val="20"/>
        </w:rPr>
        <w:t xml:space="preserve">Proposed letting of Fourth and Fifth Floors, Pinnacle House, 12 Wellington Place, Leeds LS1 4AP</w:t>
      </w:r>
    </w:p>
    <w:p>
      <w:pPr>
        <w:spacing w:after="120"/>
        <w:rPr>
          <w:i/>
          <w:iCs/>
          <w:sz w:val="20"/>
          <w:szCs w:val="20"/>
        </w:rPr>
      </w:pPr>
      <w:r>
        <w:rPr>
          <w:i/>
          <w:iCs/>
          <w:sz w:val="20"/>
          <w:szCs w:val="20"/>
        </w:rPr>
        <w:t xml:space="preserve">These heads of terms record the principal commercial terms agreed in principle between the parties for the grant of a new lease. They are subject to contract and to the grant of a formal lease, and are not intended to create legal relations.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Landlord</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Halgarth Estates Limited (registered no. 08842217)</w:t>
            </w:r>
          </w:p>
          <w:p>
            <w:r>
              <w:rPr>
                <w:sz w:val="20"/>
                <w:szCs w:val="20"/>
              </w:rPr>
              <w:t xml:space="preserve">Halgarth House, 4 St Paul's Street, Leeds LS1 2JG</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Tenant</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Brookmere Software Limited (registered no. 09765431)</w:t>
            </w:r>
          </w:p>
          <w:p>
            <w:r>
              <w:rPr>
                <w:sz w:val="20"/>
                <w:szCs w:val="20"/>
              </w:rPr>
              <w:t xml:space="preserve">1 Sovereign Square, Leeds LS1 4DA</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Guarantor</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Brookmere Holdings Limited (registered no. 07654329)</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Property</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Fourth and Fifth Floors, Pinnacle House, 12 Wellington Place, Leeds LS1 4AP, comprising approximately 18,846 sq ft of net internal office accommodation, together with 12 allocated car parking spaces in the basement car park.</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Term</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15 years from and including 29 September 2024, expiring 28 September 2039.</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Rent</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£612,500 per annum exclusive (being £32.50 per sq ft), payable quarterly in advance on the usual quarter days.</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Rent-free period</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9 months from the term commencement date, in lieu of fit-out, conditional on no tenant default (so that the first rent payment falls on 29 June 2025).</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Rent review</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Open market, upward only, on the fifth and tenth anniversaries of the term.</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Repairs</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Full repairing and insuring, limited by reference to a schedule of condition to be agreed and annexed.</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Service charge</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Fair and proper proportion of the costs of the common parts and building services, subject to a cap of £8.75 per sq ft per sq ft per annum (indexed to RPI) in the first service charge year.</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Insurance</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Landlord to insure; Tenant to reimburse a fair proportion of the premium.</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Alienation</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Assignment of the whole permitted with landlord’s consent (not to be unreasonably withheld) subject to an authorised guarantee agreement; underletting of whole or of a permitted part on arm’s-length terms permitted with consent.</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Break option</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Tenant’s rolling break exercisable on 29 September 2031 (end of year 7) on not less than nine months’ prior written notice, conditional only on payment of the principal rent and giving up vacant possession.</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Rent deposit</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£183,750 (plus VAT) to be held under a rent deposit deed, equal to six months’ rent, releasable in two tranches subject to the Tenant’s covenant compliance.</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Permitted use</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offices within Use Class E(g)(i) under the Town and Country Planning (Use Classes) Order 1987 (as amended).</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Security of tenure</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The lease to be contracted out of sections 24 to 28 of the Landlord and Tenant Act 1954; the statutory notice and declaration procedure to be completed before completion.</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VAT</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The Landlord has opted to tax the building; rent and other sums are exclusive of VAT.</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Costs</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Each party to bear its own legal costs.</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Conditionality</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Grant conditional on completion of the agreed contracting-out procedure and on the Tenant providing the guarantor covenant and rent deposit.</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Solicitors</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Landlord: Whitfield Carter LLP (Elena Marchetti) — ref SW/EM/HAL0191</w:t>
            </w:r>
          </w:p>
          <w:p>
            <w:r>
              <w:rPr>
                <w:sz w:val="20"/>
                <w:szCs w:val="20"/>
              </w:rPr>
              <w:t xml:space="preserve">Tenant: Pemberton Rowe LLP (Nadia Iqbal)</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Agents</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Landlord: Calderbank Vine; Tenant: acting direct.</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Target exchange / completion</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Exchange of agreement for lease by 30 August 2024; completion on 29 September 2024.</w:t>
            </w:r>
          </w:p>
        </w:tc>
      </w:tr>
    </w:tbl>
    <w:p>
      <w:pPr>
        <w:spacing w:before="200"/>
        <w:rPr>
          <w:i/>
          <w:iCs/>
          <w:sz w:val="20"/>
          <w:szCs w:val="20"/>
        </w:rPr>
      </w:pPr>
      <w:r>
        <w:rPr>
          <w:i/>
          <w:iCs/>
          <w:sz w:val="20"/>
          <w:szCs w:val="20"/>
        </w:rPr>
        <w:t xml:space="preserve">Agreed in principle, subject to contract, July 2024.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pPr>
    <w:r>
      <w:rPr>
        <w:color w:val="666666"/>
        <w:sz w:val="14"/>
        <w:szCs w:val="14"/>
      </w:rPr>
      <w:t xml:space="preserve">Whitfield Carter LLP is a limited liability partnership registered in England and Wales. Confidential and may be legally privileged.</w:t>
    </w:r>
  </w:p>
  <w:p>
    <w:pPr>
      <w:jc w:val="right"/>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850" w:hanging="550"/>
      </w:pPr>
    </w:lvl>
    <w:lvl w:ilvl="2" w15:tentative="1">
      <w:start w:val="1"/>
      <w:numFmt w:val="lowerLetter"/>
      <w:lvlText w:val="(%3)"/>
      <w:lvlJc w:val="left"/>
      <w:pPr>
        <w:ind w:left="1300" w:hanging="45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2026-06-30T11:16:23.177Z</dcterms:created>
  <dcterms:modified xsi:type="dcterms:W3CDTF">2026-06-30T11:16:23.177Z</dcterms:modified>
</cp:coreProperties>
</file>

<file path=docProps/custom.xml><?xml version="1.0" encoding="utf-8"?>
<Properties xmlns="http://schemas.openxmlformats.org/officeDocument/2006/custom-properties" xmlns:vt="http://schemas.openxmlformats.org/officeDocument/2006/docPropsVTypes"/>
</file>