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2024</w:t>
      </w:r>
    </w:p>
    <w:p>
      <w:pPr>
        <w:spacing w:after="40" w:before="200"/>
        <w:jc w:val="center"/>
      </w:pPr>
      <w:r>
        <w:rPr>
          <w:b/>
          <w:bCs/>
          <w:sz w:val="20"/>
          <w:szCs w:val="20"/>
        </w:rPr>
        <w:t xml:space="preserve">HALGARTH ESTATES LIMITED and BROOKMERE SOFTWARE LIMITED</w:t>
      </w:r>
    </w:p>
    <w:p>
      <w:pPr>
        <w:spacing w:after="40"/>
        <w:jc w:val="center"/>
      </w:pPr>
      <w:r>
        <w:rPr>
          <w:b/>
          <w:bCs/>
          <w:sz w:val="30"/>
          <w:szCs w:val="30"/>
        </w:rPr>
        <w:t xml:space="preserve">RENT DEPOSIT DEED</w:t>
      </w:r>
    </w:p>
    <w:p>
      <w:pPr>
        <w:spacing w:after="200"/>
        <w:jc w:val="center"/>
      </w:pPr>
      <w:r>
        <w:rPr>
          <w:sz w:val="20"/>
          <w:szCs w:val="20"/>
        </w:rPr>
        <w:t xml:space="preserve">relating to a lease of Fourth and Fifth Floors, Pinnacle House, Leeds</w:t>
      </w:r>
    </w:p>
    <w:p>
      <w:pPr>
        <w:pStyle w:val="Heading1"/>
      </w:pPr>
      <w:r>
        <w:t xml:space="preserve">Parties</w:t>
      </w:r>
    </w:p>
    <w:p>
      <w:pPr>
        <w:spacing w:after="120"/>
      </w:pPr>
      <w:r>
        <w:t xml:space="preserve">(1) HALGARTH ESTATES LIMITED (registered no. 08842217) (the “Landlord”); and</w:t>
      </w:r>
    </w:p>
    <w:p>
      <w:pPr>
        <w:spacing w:after="120"/>
      </w:pPr>
      <w:r>
        <w:t xml:space="preserve">(2) BROOKMERE SOFTWARE LIMITED (registered no. 09765431) (the “Tenant”).</w:t>
      </w:r>
    </w:p>
    <w:p>
      <w:pPr>
        <w:pStyle w:val="Heading1"/>
      </w:pPr>
      <w:r>
        <w:t xml:space="preserve">Background</w:t>
      </w:r>
    </w:p>
    <w:p>
      <w:pPr>
        <w:spacing w:after="120"/>
      </w:pPr>
      <w:r>
        <w:t xml:space="preserve">This deed is supplemental to a lease of the Property of even date (the “Lease”) and records the terms on which the Landlord holds the rent deposit paid by the Tenant.</w:t>
      </w:r>
    </w:p>
    <w:p>
      <w:pPr>
        <w:pStyle w:val="Heading1"/>
      </w:pPr>
      <w:r>
        <w:t xml:space="preserve">Operative provisions</w:t>
      </w:r>
    </w:p>
    <w:p>
      <w:pPr>
        <w:pStyle w:val="Heading2"/>
      </w:pPr>
      <w:r>
        <w:t xml:space="preserve">1. Definitions</w:t>
      </w:r>
    </w:p>
    <w:p>
      <w:pPr>
        <w:spacing w:after="120"/>
      </w:pPr>
      <w:r>
        <w:t xml:space="preserve">“Deposit” means £183,750 (being a sum equal to six months’ Principal Rent) plus an amount equal to VAT on it;</w:t>
      </w:r>
    </w:p>
    <w:p>
      <w:pPr>
        <w:spacing w:after="120"/>
      </w:pPr>
      <w:r>
        <w:t xml:space="preserve">“Deposit Account” means an interest-bearing account in the Landlord’s name designated as holding the Deposit;</w:t>
      </w:r>
    </w:p>
    <w:p>
      <w:pPr>
        <w:spacing w:after="120"/>
      </w:pPr>
      <w:r>
        <w:t xml:space="preserve">“Prescribed Sum” means the Deposit together with accrued interest.</w:t>
      </w:r>
    </w:p>
    <w:p>
      <w:pPr>
        <w:pStyle w:val="Heading2"/>
      </w:pPr>
      <w:r>
        <w:t xml:space="preserve">2. Payment and holding of the Deposit</w:t>
      </w:r>
    </w:p>
    <w:p>
      <w:pPr>
        <w:pStyle w:val="ListParagraph"/>
        <w:numPr>
          <w:ilvl w:val="0"/>
          <w:numId w:val="2"/>
        </w:numPr>
        <w:spacing w:after="100"/>
      </w:pPr>
      <w:r>
        <w:t xml:space="preserve">On completion of the Lease the Tenant has paid the Deposit to the Landlord. The Landlord shall hold the Deposit in the Deposit Account as security for the performance of the Tenant’s obligations under the Lease.</w:t>
      </w:r>
    </w:p>
    <w:p>
      <w:pPr>
        <w:pStyle w:val="ListParagraph"/>
        <w:numPr>
          <w:ilvl w:val="0"/>
          <w:numId w:val="2"/>
        </w:numPr>
        <w:spacing w:after="100"/>
      </w:pPr>
      <w:r>
        <w:t xml:space="preserve">The Deposit (and the debt it represents) belongs to the Tenant subject to the Landlord’s rights under this deed; interest accrues for the Tenant’s account.</w:t>
      </w:r>
    </w:p>
    <w:p>
      <w:pPr>
        <w:pStyle w:val="Heading2"/>
      </w:pPr>
      <w:r>
        <w:t xml:space="preserve">3. Withdrawals by the Landlord</w:t>
      </w:r>
    </w:p>
    <w:p>
      <w:pPr>
        <w:pStyle w:val="ListParagraph"/>
        <w:numPr>
          <w:ilvl w:val="0"/>
          <w:numId w:val="2"/>
        </w:numPr>
        <w:spacing w:after="100"/>
      </w:pPr>
      <w:r>
        <w:t xml:space="preserve">The Landlord may withdraw from the Deposit Account amounts equal to any rent or other sum due under the Lease that is unpaid for more than 14 days, and any sum incurred by the Landlord in remedying a Tenant breach.</w:t>
      </w:r>
    </w:p>
    <w:p>
      <w:pPr>
        <w:pStyle w:val="ListParagraph"/>
        <w:numPr>
          <w:ilvl w:val="0"/>
          <w:numId w:val="2"/>
        </w:numPr>
        <w:spacing w:after="100"/>
      </w:pPr>
      <w:r>
        <w:t xml:space="preserve">Within 10 Working Days of a withdrawal the Tenant shall pay to the Landlord the amount withdrawn so as to restore the Deposit to its full amount.</w:t>
      </w:r>
    </w:p>
    <w:p>
      <w:pPr>
        <w:pStyle w:val="Heading2"/>
      </w:pPr>
      <w:r>
        <w:t xml:space="preserve">4. Release of the Deposit</w:t>
      </w:r>
    </w:p>
    <w:p>
      <w:pPr>
        <w:pStyle w:val="ListParagraph"/>
        <w:numPr>
          <w:ilvl w:val="0"/>
          <w:numId w:val="2"/>
        </w:numPr>
        <w:spacing w:after="100"/>
      </w:pPr>
      <w:r>
        <w:t xml:space="preserve">The Landlord shall release one half of the Deposit to the Tenant on the third anniversary of the term commencement date, provided that at that date there is no subsisting Tenant breach and the Tenant has paid all rents on the due dates during the preceding 12 months.</w:t>
      </w:r>
    </w:p>
    <w:p>
      <w:pPr>
        <w:pStyle w:val="ListParagraph"/>
        <w:numPr>
          <w:ilvl w:val="0"/>
          <w:numId w:val="2"/>
        </w:numPr>
        <w:spacing w:after="100"/>
      </w:pPr>
      <w:r>
        <w:t xml:space="preserve">The Landlord shall release the balance of the Deposit (with accrued interest, less any amount properly withdrawn) within 20 Working Days after the earlier of (a) a lawful assignment of the Lease where the assignee provides an equivalent deposit and (b) the end of the term where the Tenant has complied with its yield-up obligations.</w:t>
      </w:r>
    </w:p>
    <w:p>
      <w:pPr>
        <w:pStyle w:val="Heading2"/>
      </w:pPr>
      <w:r>
        <w:t xml:space="preserve">5. Miscellaneous</w:t>
      </w:r>
    </w:p>
    <w:p>
      <w:pPr>
        <w:pStyle w:val="ListParagraph"/>
        <w:numPr>
          <w:ilvl w:val="0"/>
          <w:numId w:val="2"/>
        </w:numPr>
        <w:spacing w:after="100"/>
      </w:pPr>
      <w:r>
        <w:t xml:space="preserve">This deed is governed by the law of England and Wales.</w:t>
      </w:r>
    </w:p>
    <w:p>
      <w:pPr>
        <w:pStyle w:val="Heading1"/>
      </w:pPr>
      <w:r>
        <w:t xml:space="preserve">Execution</w:t>
      </w:r>
    </w:p>
    <w:p>
      <w:pPr>
        <w:spacing w:before="120"/>
      </w:pPr>
      <w:r>
        <w:t xml:space="preserve">EXECUTED as a deed by the parties on the date stated above.</w:t>
      </w:r>
    </w:p>
    <w:p>
      <w:pPr>
        <w:spacing w:before="120"/>
      </w:pPr>
      <w:r>
        <w:t xml:space="preserve">Signed by HALGARTH ESTATES LIMITED ................................</w:t>
      </w:r>
    </w:p>
    <w:p>
      <w:pPr>
        <w:spacing w:before="120"/>
      </w:pPr>
      <w:r>
        <w:t xml:space="preserve">Signed by BROOKMERE SOFTWARE LIMITED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pPr>
    <w:r>
      <w:rPr>
        <w:color w:val="666666"/>
        <w:sz w:val="14"/>
        <w:szCs w:val="14"/>
      </w:rPr>
      <w:t xml:space="preserve">Whitfield Carter LLP is a limited liability partnership registered in England and Wales.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850" w:hanging="550"/>
      </w:pPr>
    </w:lvl>
    <w:lvl w:ilvl="2" w15:tentative="1">
      <w:start w:val="1"/>
      <w:numFmt w:val="lowerLetter"/>
      <w:lvlText w:val="(%3)"/>
      <w:lvlJc w:val="left"/>
      <w:pPr>
        <w:ind w:left="1300" w:hanging="45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2026-06-30T11:16:23.213Z</dcterms:created>
  <dcterms:modified xsi:type="dcterms:W3CDTF">2026-06-30T11:16:23.213Z</dcterms:modified>
</cp:coreProperties>
</file>

<file path=docProps/custom.xml><?xml version="1.0" encoding="utf-8"?>
<Properties xmlns="http://schemas.openxmlformats.org/officeDocument/2006/custom-properties" xmlns:vt="http://schemas.openxmlformats.org/officeDocument/2006/docPropsVTypes"/>
</file>