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pPr>
      <w:r>
        <w:rPr>
          <w:b/>
          <w:bCs/>
          <w:sz w:val="28"/>
          <w:szCs w:val="28"/>
        </w:rPr>
        <w:t xml:space="preserve">WHITFIELD CARTER LLP</w:t>
      </w:r>
    </w:p>
    <w:p>
      <w:pPr>
        <w:spacing w:after="120" w:line="264"/>
      </w:pPr>
      <w:r>
        <w:rPr>
          <w:i/>
          <w:iCs/>
          <w:sz w:val="18"/>
          <w:szCs w:val="18"/>
        </w:rPr>
        <w:t xml:space="preserve">Solicitors</w:t>
      </w:r>
    </w:p>
    <w:p>
      <w:pPr>
        <w:spacing w:after="120" w:line="264"/>
      </w:pPr>
      <w:r>
        <w:rPr>
          <w:sz w:val="18"/>
          <w:szCs w:val="18"/>
        </w:rPr>
        <w:t xml:space="preserve">22 Bishopsgate, London EC2N 4BQ</w:t>
      </w:r>
    </w:p>
    <w:p>
      <w:pPr>
        <w:spacing w:after="120" w:line="264"/>
      </w:pPr>
      <w:r>
        <w:rPr>
          <w:sz w:val="18"/>
          <w:szCs w:val="18"/>
        </w:rPr>
        <w:t xml:space="preserve">T +44 (0)20 7946 0000   DX 178 London   www.whitfieldcarter.com</w:t>
      </w:r>
    </w:p>
    <w:p>
      <w:pPr>
        <w:pBdr>
          <w:bottom w:val="single" w:color="1F3864" w:sz="6" w:space="1"/>
        </w:pBdr>
        <w:spacing w:after="160"/>
      </w:pPr>
      <w:r>
        <w:t xml:space="preserve"/>
      </w:r>
    </w:p>
    <w:p>
      <w:pPr>
        <w:spacing w:after="120" w:line="264"/>
      </w:pPr>
      <w:r>
        <w:t xml:space="preserve">Ms Eleanor Bartlett</w:t>
      </w:r>
    </w:p>
    <w:p>
      <w:pPr>
        <w:spacing w:after="120" w:line="264"/>
      </w:pPr>
      <w:r>
        <w:t xml:space="preserve">Ashworth Quinn LLP</w:t>
      </w:r>
    </w:p>
    <w:p>
      <w:pPr>
        <w:spacing w:after="120" w:line="264"/>
      </w:pPr>
      <w:r>
        <w:t xml:space="preserve">60 Gracechurch Street, London EC3V 0HR</w:t>
      </w:r>
    </w:p>
    <w:p>
      <w:pPr>
        <w:spacing w:after="80"/>
      </w:pPr>
      <w:r>
        <w:t xml:space="preserve"/>
      </w:r>
    </w:p>
    <w:p>
      <w:pPr>
        <w:tabs>
          <w:tab w:val="right" w:pos="9000"/>
        </w:tabs>
      </w:pPr>
      <w:r>
        <w:t xml:space="preserve">Our ref: SW/TG/WC-00106</w:t>
      </w:r>
      <w:r>
        <w:t xml:space="preserve">	18 October 2025</w:t>
      </w:r>
    </w:p>
    <w:p>
      <w:pPr>
        <w:spacing w:after="120" w:line="264"/>
      </w:pPr>
      <w:r>
        <w:t xml:space="preserve">Your ref: EB/HALE/0925</w:t>
      </w:r>
    </w:p>
    <w:p>
      <w:pPr>
        <w:spacing w:after="120" w:line="264"/>
      </w:pPr>
      <w:r>
        <w:t xml:space="preserve">By email: e.bartlett@ashworthquinn.com</w:t>
      </w:r>
    </w:p>
    <w:p>
      <w:pPr>
        <w:spacing w:after="80"/>
      </w:pPr>
      <w:r>
        <w:t xml:space="preserve"/>
      </w:r>
    </w:p>
    <w:p>
      <w:pPr>
        <w:spacing w:after="120" w:line="264"/>
      </w:pPr>
      <w:r>
        <w:t xml:space="preserve">Dear Ms Bartlett</w:t>
      </w:r>
    </w:p>
    <w:p>
      <w:pPr>
        <w:spacing w:after="120" w:line="264"/>
      </w:pPr>
      <w:r>
        <w:rPr>
          <w:b/>
          <w:bCs/>
        </w:rPr>
        <w:t xml:space="preserve">WITHOUT PREJUDICE AND SUBJECT TO CONTRACT</w:t>
      </w:r>
    </w:p>
    <w:p>
      <w:pPr>
        <w:spacing w:after="120" w:line="264"/>
      </w:pPr>
      <w:r>
        <w:rPr>
          <w:b/>
          <w:bCs/>
        </w:rPr>
        <w:t xml:space="preserve">Martin Hale and Wexford Holdings Limited</w:t>
      </w:r>
    </w:p>
    <w:p>
      <w:pPr>
        <w:spacing w:after="120" w:line="264"/>
      </w:pPr>
      <w:r>
        <w:t xml:space="preserve">We act for Wexford Holdings Limited (the “Company”) in connection with the termination of Mr Martin Hale’s employment and the matters raised in his grievance dated 12 September 2025. We understand that you are instructed on Mr Hale’s behalf, and we write on a without prejudice and subject to contract basis with a view to exploring a negotiated resolution.</w:t>
      </w:r>
    </w:p>
    <w:p>
      <w:pPr>
        <w:spacing w:after="120" w:line="264"/>
      </w:pPr>
      <w:r>
        <w:t xml:space="preserve">We should record at the outset that the Company does not accept that Mr Hale has been treated unfairly, or that his age has played any part in any decision concerning his role. The reorganisation of the operations function was a genuine business reorganisation, approved by the Board following a strategic review, in which Mr Hale’s role was identified as no longer required in its existing form. The Company is confident in the merits of its position and, if a claim is pursued, it will be resisted in full.</w:t>
      </w:r>
    </w:p>
    <w:p>
      <w:pPr>
        <w:spacing w:after="120" w:line="264"/>
      </w:pPr>
      <w:r>
        <w:t xml:space="preserve">Nevertheless, the Company recognises that litigation of this kind carries cost, management distraction and uncertainty for both sides. In order to achieve a clean and dignified separation, and without any admission of liability, the Company is willing to settle all matters arising from Mr Hale’s employment and its termination on the following principal terms, which are offered as a package and are not severable:</w:t>
      </w:r>
    </w:p>
    <w:p>
      <w:pPr>
        <w:spacing w:after="120" w:line="264"/>
      </w:pPr>
      <w:r>
        <w:t xml:space="preserve">•  a termination date of 31 October 2025, with Mr Hale’s continuous employment treated as ending on that date;</w:t>
      </w:r>
    </w:p>
    <w:p>
      <w:pPr>
        <w:spacing w:after="120" w:line="264"/>
      </w:pPr>
      <w:r>
        <w:t xml:space="preserve">•  a payment in lieu of his six-month contractual notice entitlement of £92,500 gross, subject to deductions for income tax and employee National Insurance contributions;</w:t>
      </w:r>
    </w:p>
    <w:p>
      <w:pPr>
        <w:spacing w:after="120" w:line="264"/>
      </w:pPr>
      <w:r>
        <w:t xml:space="preserve">•  payment of accrued but untaken holiday of £7,115 gross, subject to the usual deductions;</w:t>
      </w:r>
    </w:p>
    <w:p>
      <w:pPr>
        <w:spacing w:after="120" w:line="264"/>
      </w:pPr>
      <w:r>
        <w:t xml:space="preserve">•  an ex gratia compensation payment of £100,000, the first £30,000 of which the parties consider may be paid without deduction of income tax under sections 401 to 403 of the Income Tax (Earnings and Pensions) Act 2003, with the balance subject to deduction of income tax;</w:t>
      </w:r>
    </w:p>
    <w:p>
      <w:pPr>
        <w:spacing w:after="120" w:line="264"/>
      </w:pPr>
      <w:r>
        <w:t xml:space="preserve">•  a contribution of £500 plus VAT towards Mr Hale’s reasonable legal fees in connection with the settlement agreement, payable directly to your firm;</w:t>
      </w:r>
    </w:p>
    <w:p>
      <w:pPr>
        <w:spacing w:after="120" w:line="264"/>
      </w:pPr>
      <w:r>
        <w:t xml:space="preserve">•  an agreed form of reference and an agreed internal and external announcement;</w:t>
      </w:r>
    </w:p>
    <w:p>
      <w:pPr>
        <w:spacing w:after="120" w:line="264"/>
      </w:pPr>
      <w:r>
        <w:t xml:space="preserve">•  mutual confidentiality and non-derogatory undertakings; and</w:t>
      </w:r>
    </w:p>
    <w:p>
      <w:pPr>
        <w:spacing w:after="120" w:line="264"/>
      </w:pPr>
      <w:r>
        <w:t xml:space="preserve">•  the usual terms as to tax indemnity, waiver of claims, and withdrawal of any tribunal proceedings.</w:t>
      </w:r>
    </w:p>
    <w:p>
      <w:pPr>
        <w:spacing w:after="120" w:line="264"/>
      </w:pPr>
      <w:r>
        <w:t xml:space="preserve">The offer is made in full and final settlement of all claims Mr Hale may have against the Company and any Group Company, and is conditional upon the parties entering into a settlement agreement in a form satisfactory to the Company and upon Mr Hale taking independent legal advice on its terms. The settlement sum reflects a commercial assessment of the cost and risk of litigation and is not an acknowledgement of any liability.</w:t>
      </w:r>
    </w:p>
    <w:p>
      <w:pPr>
        <w:spacing w:after="120" w:line="264"/>
      </w:pPr>
      <w:r>
        <w:t xml:space="preserve">We consider this to be a constructive opening proposal and one which compares favourably with the likely outcome of a contested tribunal claim, particularly once the costs and uncertainty of litigation are taken into account. We would be glad to discuss it with you, and to provide a draft settlement agreement promptly should your client wish to proceed.</w:t>
      </w:r>
    </w:p>
    <w:p>
      <w:pPr>
        <w:spacing w:after="120" w:line="264"/>
      </w:pPr>
      <w:r>
        <w:t xml:space="preserve">This letter is written without prejudice and subject to contract. Nothing in it is to be treated as an admission, or as capable of being referred to in any proceedings, and no binding agreement will arise unless and until a settlement agreement is signed by both parties and dated.</w:t>
      </w:r>
    </w:p>
    <w:p>
      <w:pPr>
        <w:spacing w:after="120" w:line="264"/>
      </w:pPr>
      <w:r>
        <w:t xml:space="preserve">We look forward to hearing from you.</w:t>
      </w:r>
    </w:p>
    <w:p>
      <w:pPr>
        <w:spacing w:after="80"/>
      </w:pPr>
      <w:r>
        <w:t xml:space="preserve"/>
      </w:r>
    </w:p>
    <w:p>
      <w:pPr>
        <w:spacing w:after="120" w:line="264"/>
      </w:pPr>
      <w:r>
        <w:t xml:space="preserve">Yours sincerely</w:t>
      </w:r>
    </w:p>
    <w:p>
      <w:pPr>
        <w:spacing w:after="80"/>
      </w:pPr>
      <w:r>
        <w:t xml:space="preserve"/>
      </w:r>
    </w:p>
    <w:p>
      <w:pPr>
        <w:spacing w:after="120" w:line="264"/>
      </w:pPr>
      <w:r>
        <w:rPr>
          <w:b/>
          <w:bCs/>
        </w:rPr>
        <w:t xml:space="preserve">Whitfield Carter LLP</w:t>
      </w:r>
    </w:p>
    <w:p>
      <w:pPr>
        <w:spacing w:after="120" w:line="264"/>
      </w:pPr>
      <w:r>
        <w:rPr>
          <w:sz w:val="18"/>
          <w:szCs w:val="18"/>
        </w:rPr>
        <w:t xml:space="preserve">Sarah Whitfield (Partner) — sarah.whitfield@whitfieldcarter.com</w:t>
      </w:r>
    </w:p>
    <w:p>
      <w:pPr>
        <w:spacing w:after="120" w:line="264"/>
      </w:pPr>
      <w:r>
        <w:rPr>
          <w:sz w:val="18"/>
          <w:szCs w:val="18"/>
        </w:rPr>
        <w:t xml:space="preserve">Tom Gallagher (Associate) — tom.gallagher@whitfieldcarter.com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sz w:val="24"/>
      <w:szCs w:val="24"/>
    </w:rPr>
  </w:style>
  <w:style w:type="paragraph" w:styleId="Heading2">
    <w:name w:val="Heading 2"/>
    <w:basedOn w:val="Normal"/>
    <w:next w:val="Normal"/>
    <w:qFormat/>
    <w:pPr>
      <w:spacing w:after="70" w:before="15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2026-06-10T21:50:59.901Z</dcterms:created>
  <dcterms:modified xsi:type="dcterms:W3CDTF">2026-06-10T21:50:59.901Z</dcterms:modified>
</cp:coreProperties>
</file>

<file path=docProps/custom.xml><?xml version="1.0" encoding="utf-8"?>
<Properties xmlns="http://schemas.openxmlformats.org/officeDocument/2006/custom-properties" xmlns:vt="http://schemas.openxmlformats.org/officeDocument/2006/docPropsVTypes"/>
</file>