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 xml:space="preserve">WHITFIELD CARTER LLP</w:t>
      </w:r>
    </w:p>
    <w:p>
      <w:pPr>
        <w:spacing w:after="20"/>
        <w:jc w:val="center"/>
      </w:pPr>
      <w:r>
        <w:rPr>
          <w:color w:val="808080"/>
          <w:sz w:val="17"/>
          <w:szCs w:val="17"/>
        </w:rPr>
        <w:t xml:space="preserve">Solicitors</w:t>
      </w:r>
    </w:p>
    <w:p>
      <w:pPr>
        <w:pBdr>
          <w:bottom w:val="single" w:color="1F3864" w:sz="6" w:space="4"/>
        </w:pBdr>
        <w:spacing w:after="160"/>
        <w:jc w:val="center"/>
      </w:pPr>
      <w:r>
        <w:rPr>
          <w:color w:val="808080"/>
          <w:sz w:val="17"/>
          <w:szCs w:val="17"/>
        </w:rPr>
        <w:t xml:space="preserve">22 Bishopsgate, London EC2N 4BQ   |   T +44 (0)20 7946 0100   |   whitfieldcarter.com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PROJECT GRANITE — COMPLETION CHECKLIST</w:t>
      </w:r>
    </w:p>
    <w:p>
      <w:pPr>
        <w:spacing w:after="160"/>
        <w:jc w:val="center"/>
      </w:pPr>
      <w:r>
        <w:t xml:space="preserve">Acquisition of Calder Vale Foods Limited by Wexford Holdings Limited  |  Completion: 12 December 2025</w:t>
      </w:r>
    </w:p>
    <w:p>
      <w:pPr>
        <w:spacing w:after="120"/>
      </w:pPr>
      <w:r>
        <w:rPr>
          <w:b/>
          <w:bCs/>
        </w:rPr>
        <w:t xml:space="preserve">Status key: </w:t>
      </w:r>
      <w:r>
        <w:t xml:space="preserve">DONE = completed pre-completion; AT COMPLETION = to be done at the completion meeting; OUTSTANDING = post-completion item.</w:t>
      </w:r>
    </w:p>
    <w:p>
      <w:pPr>
        <w:pStyle w:val="Heading1"/>
        <w:spacing w:after="100" w:before="200"/>
      </w:pPr>
      <w:r>
        <w:rPr>
          <w:b/>
          <w:bCs/>
        </w:rPr>
        <w:t xml:space="preserve">A.  Conditions to Completion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740"/>
        <w:gridCol w:w="264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Party / status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Buyer board approval of the acquisition and the SPA (board resolution dated 10 December 2025)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Financial, tax and legal due diligence concluded; due-diligence report dated 30 October 2025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Disclosure Letter agreed and dated 8 December 2025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Change-of-control consent — Northborough Dairies supply agreement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OUTSTANDING (post-completion undertaking agreed)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Release of Northbank plc charge over the freehold property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 COMPLETION (undertaking to discharge)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</w:rPr>
        <w:t xml:space="preserve">B.  Documents to be executed at Completion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740"/>
        <w:gridCol w:w="264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Party / status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 Purchase Agreement (executed as a deed)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All Sellers and Buyer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Disclosure Letter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Tax Covenant (Schedule 6 of the SPA)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Sellers and Buyer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 transfer forms for 1,000,000 ordinary shares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Escrow Agreement (Retention Amount £2,050,000)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Sellers, Buyer, Escrow Agent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Assignment of the “Calder Vale” trade mark to the Target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Robert Calder and Target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Board minutes of the Target (transfers, resignations, appointments)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Resignation letters of Robert Calder (director) and Susan Pryce (director/secretary)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Resigning officers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of attorney in favour of the Buyer pending registration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Sellers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</w:rPr>
        <w:t xml:space="preserve">C.  Funds movements at Completion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740"/>
        <w:gridCol w:w="264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Party / status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Completion payment to the Sellers (Consideration £41,000,000 less Retention £2,050,000)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£38,950,000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 paid into the Escrow Account (5% of equity value)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£2,050,000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Repayment of shareholder loans to the Sellers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£1,500,000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funds to be remitted by the Buyer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£42,500,000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</w:rPr>
        <w:t xml:space="preserve">D.  Post-Completion steps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740"/>
        <w:gridCol w:w="264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Party / status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stamp duty at 0.5% on the stock transfer forms (HMRC, within 30 days)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£205,000 — Buyer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stock transfer forms and SH-stamped transfers to the Target for registration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Buyer’s Solicitors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updated PSC register and confirmation statement at Companies House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Buyer’s Solicitors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 original share certificates and statutory books to the Buyer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Sellers’ Solicitors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Obtain Northborough Dairies change-of-control consent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Buyer / Target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Release Retention Amount on the 18-month anniversary, subject to claims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Escrow Agent</w:t>
            </w:r>
          </w:p>
        </w:tc>
      </w:tr>
    </w:tbl>
    <w:p>
      <w:pPr>
        <w:spacing w:after="120"/>
      </w:pPr>
      <w:r>
        <w:rPr>
          <w:i/>
          <w:iCs/>
        </w:rPr>
        <w:t xml:space="preserve">Prepared by </w:t>
      </w:r>
      <w:r>
        <w:rPr>
          <w:b/>
          <w:bCs/>
          <w:i/>
          <w:iCs/>
        </w:rPr>
        <w:t xml:space="preserve">Whitfield Carter LLP</w:t>
      </w:r>
      <w:r>
        <w:rPr>
          <w:i/>
          <w:iCs/>
        </w:rPr>
        <w:t xml:space="preserve">  |  Lead partner: Sarah Whitfield  |  Associates: James Osei, Elena Marchetti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STRICTLY PRIVATE &amp; CONFIDENTIAL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Project Granite —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Georgia" w:cs="Georgia" w:eastAsia="Georgia" w:hAnsi="Georgia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Granite — Completion Checklist</dc:title>
  <dc:creator>Whitfield Carter LLP</dc:creator>
  <cp:lastModifiedBy>Un-named</cp:lastModifiedBy>
  <cp:revision>1</cp:revision>
  <dcterms:created xsi:type="dcterms:W3CDTF">2026-06-10T21:36:01.405Z</dcterms:created>
  <dcterms:modified xsi:type="dcterms:W3CDTF">2026-06-10T21:36:01.405Z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