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color w:val="595959"/>
          <w:sz w:val="18"/>
          <w:szCs w:val="18"/>
        </w:rPr>
        <w:t xml:space="preserve">Our ref: SW/JO/WC-00113</w:t>
      </w:r>
    </w:p>
    <w:p>
      <w:pPr>
        <w:spacing w:after="120" w:line="276"/>
      </w:pPr>
      <w:r>
        <w:rPr>
          <w:rFonts w:ascii="Arial" w:cs="Arial" w:eastAsia="Arial" w:hAnsi="Arial"/>
        </w:rPr>
        <w:t xml:space="preserve">12 November 2025</w:t>
      </w:r>
    </w:p>
    <w:p>
      <w:pPr>
        <w:spacing w:after="120" w:line="276"/>
      </w:pPr>
      <w:r>
        <w:rPr>
          <w:rFonts w:ascii="Arial" w:cs="Arial" w:eastAsia="Arial" w:hAnsi="Arial"/>
          <w:b/>
          <w:bCs/>
        </w:rPr>
        <w:t xml:space="preserve">Strictly private and confidential — addressee only</w:t>
      </w:r>
    </w:p>
    <w:p>
      <w:pPr>
        <w:spacing w:after="120" w:line="276"/>
      </w:pPr>
      <w:r>
        <w:rPr>
          <w:rFonts w:ascii="Arial" w:cs="Arial" w:eastAsia="Arial" w:hAnsi="Arial"/>
        </w:rPr>
        <w:t xml:space="preserve">The Directors</w:t>
      </w:r>
    </w:p>
    <w:p>
      <w:pPr>
        <w:spacing w:after="120" w:line="276"/>
      </w:pPr>
      <w:r>
        <w:rPr>
          <w:rFonts w:ascii="Arial" w:cs="Arial" w:eastAsia="Arial" w:hAnsi="Arial"/>
        </w:rPr>
        <w:t xml:space="preserve">Wexford Holdings Limited</w:t>
      </w:r>
    </w:p>
    <w:p>
      <w:pPr>
        <w:spacing w:after="120" w:line="276"/>
      </w:pPr>
      <w:r>
        <w:rPr>
          <w:rFonts w:ascii="Arial" w:cs="Arial" w:eastAsia="Arial" w:hAnsi="Arial"/>
        </w:rPr>
        <w:t xml:space="preserve">Pavilion House, 41 Old Bailey</w:t>
      </w:r>
    </w:p>
    <w:p>
      <w:pPr>
        <w:spacing w:after="120" w:line="276"/>
      </w:pPr>
      <w:r>
        <w:rPr>
          <w:rFonts w:ascii="Arial" w:cs="Arial" w:eastAsia="Arial" w:hAnsi="Arial"/>
        </w:rPr>
        <w:t xml:space="preserve">London EC4M 7HG</w:t>
      </w:r>
    </w:p>
    <w:p>
      <w:pPr>
        <w:spacing w:after="120"/>
      </w:pPr>
    </w:p>
    <w:p>
      <w:pPr>
        <w:spacing w:after="120" w:line="276"/>
      </w:pPr>
      <w:r>
        <w:rPr>
          <w:rFonts w:ascii="Arial" w:cs="Arial" w:eastAsia="Arial" w:hAnsi="Arial"/>
        </w:rPr>
        <w:t xml:space="preserve">For the attention of Mr Edward Pennington, Chief Executive, and Ms Fiona Aldridge, Chief Financial Officer</w:t>
      </w:r>
    </w:p>
    <w:p>
      <w:pPr>
        <w:spacing w:after="120"/>
      </w:pPr>
    </w:p>
    <w:p>
      <w:pPr>
        <w:spacing w:after="120" w:line="276"/>
      </w:pPr>
      <w:r>
        <w:rPr>
          <w:rFonts w:ascii="Arial" w:cs="Arial" w:eastAsia="Arial" w:hAnsi="Arial"/>
          <w:b/>
          <w:bCs/>
        </w:rPr>
        <w:t xml:space="preserve">Dear Edward and Fiona</w:t>
      </w:r>
    </w:p>
    <w:p>
      <w:pPr>
        <w:spacing w:after="120" w:line="276"/>
      </w:pPr>
      <w:r>
        <w:rPr>
          <w:rFonts w:ascii="Arial" w:cs="Arial" w:eastAsia="Arial" w:hAnsi="Arial"/>
          <w:b/>
          <w:bCs/>
        </w:rPr>
        <w:t xml:space="preserve">Project Tempest — financial restructuring of the Wexford group senior facilities</w:t>
      </w:r>
    </w:p>
    <w:p>
      <w:pPr>
        <w:spacing w:after="120" w:line="276"/>
      </w:pPr>
      <w:r>
        <w:rPr>
          <w:rFonts w:ascii="Arial" w:cs="Arial" w:eastAsia="Arial" w:hAnsi="Arial"/>
        </w:rPr>
        <w:t xml:space="preserve">Thank you for instructing Whitfield Carter LLP (“the Firm”, “we” or “us”) in connection with the proposed restructuring of the senior banking facilities made available to Wexford Consumer Brands Limited (“WCB” or “the Borrower”) and guaranteed by Wexford Holdings Limited (“Wexford” or “the Company”). This letter, together with our enclosed standard Terms of Business, records the basis on which we will act. We refer to this matter internally as Project Tempest.</w:t>
      </w:r>
    </w:p>
    <w:p>
      <w:pPr>
        <w:pStyle w:val="Heading2"/>
        <w:spacing w:after="120" w:before="180"/>
      </w:pPr>
      <w:r>
        <w:rPr>
          <w:rFonts w:ascii="Arial" w:cs="Arial" w:eastAsia="Arial" w:hAnsi="Arial"/>
          <w:b/>
          <w:bCs/>
          <w:color w:val="1F3864"/>
          <w:sz w:val="24"/>
          <w:szCs w:val="24"/>
        </w:rPr>
        <w:t xml:space="preserve">1.  Background and scope of our engagement</w:t>
      </w:r>
    </w:p>
    <w:p>
      <w:pPr>
        <w:spacing w:after="120" w:line="276"/>
      </w:pPr>
      <w:r>
        <w:rPr>
          <w:rFonts w:ascii="Arial" w:cs="Arial" w:eastAsia="Arial" w:hAnsi="Arial"/>
        </w:rPr>
        <w:t xml:space="preserve">We understand that, at the quarterly covenant test date of 30 September 2025, the group was not in compliance with the leverage and fixed charge cover covenants under the senior facilities agreement dated 14 June 2022 between (among others) the Borrower, the Company and Sterling Commercial Bank plc (the “Agent” and the “Senior Lender”). The resulting events of default give the Senior Lender the right (which it has not, to date, exercised) to accelerate the facilities and enforce its security.</w:t>
      </w:r>
    </w:p>
    <w:p>
      <w:pPr>
        <w:spacing w:after="120" w:line="276"/>
      </w:pPr>
      <w:r>
        <w:rPr>
          <w:rFonts w:ascii="Arial" w:cs="Arial" w:eastAsia="Arial" w:hAnsi="Arial"/>
        </w:rPr>
        <w:t xml:space="preserve">Our engagement comprises the following workstreams:</w:t>
      </w:r>
    </w:p>
    <w:p>
      <w:pPr>
        <w:pStyle w:val="ListParagraph"/>
        <w:numPr>
          <w:ilvl w:val="0"/>
          <w:numId w:val="2"/>
        </w:numPr>
        <w:spacing w:after="80" w:line="276"/>
      </w:pPr>
      <w:r>
        <w:rPr>
          <w:rFonts w:ascii="Arial" w:cs="Arial" w:eastAsia="Arial" w:hAnsi="Arial"/>
          <w:b/>
          <w:bCs/>
        </w:rPr>
        <w:t xml:space="preserve">Standstill. </w:t>
      </w:r>
      <w:r>
        <w:rPr>
          <w:rFonts w:ascii="Arial" w:cs="Arial" w:eastAsia="Arial" w:hAnsi="Arial"/>
        </w:rPr>
        <w:t xml:space="preserve">advising on and negotiating a short-form standstill agreement under which the Senior Lender agrees, for a defined period, not to accelerate or enforce while the parties negotiate a consensual restructuring;</w:t>
      </w:r>
    </w:p>
    <w:p>
      <w:pPr>
        <w:pStyle w:val="ListParagraph"/>
        <w:numPr>
          <w:ilvl w:val="0"/>
          <w:numId w:val="2"/>
        </w:numPr>
        <w:spacing w:after="80" w:line="276"/>
      </w:pPr>
      <w:r>
        <w:rPr>
          <w:rFonts w:ascii="Arial" w:cs="Arial" w:eastAsia="Arial" w:hAnsi="Arial"/>
          <w:b/>
          <w:bCs/>
        </w:rPr>
        <w:t xml:space="preserve">Restructuring term sheet. </w:t>
      </w:r>
      <w:r>
        <w:rPr>
          <w:rFonts w:ascii="Arial" w:cs="Arial" w:eastAsia="Arial" w:hAnsi="Arial"/>
        </w:rPr>
        <w:t xml:space="preserve">advising on the commercial heads of terms for the restructuring, including new money, amended pricing, an extended maturity profile and a reset covenant package;</w:t>
      </w:r>
    </w:p>
    <w:p>
      <w:pPr>
        <w:pStyle w:val="ListParagraph"/>
        <w:numPr>
          <w:ilvl w:val="0"/>
          <w:numId w:val="2"/>
        </w:numPr>
        <w:spacing w:after="80" w:line="276"/>
      </w:pPr>
      <w:r>
        <w:rPr>
          <w:rFonts w:ascii="Arial" w:cs="Arial" w:eastAsia="Arial" w:hAnsi="Arial"/>
          <w:b/>
          <w:bCs/>
        </w:rPr>
        <w:t xml:space="preserve">Amendment and restatement. </w:t>
      </w:r>
      <w:r>
        <w:rPr>
          <w:rFonts w:ascii="Arial" w:cs="Arial" w:eastAsia="Arial" w:hAnsi="Arial"/>
        </w:rPr>
        <w:t xml:space="preserve">drafting and negotiating an amendment and restatement of the senior facilities agreement and related finance and security documents, and the intercreditor arrangements for any new super-senior money;</w:t>
      </w:r>
    </w:p>
    <w:p>
      <w:pPr>
        <w:pStyle w:val="ListParagraph"/>
        <w:numPr>
          <w:ilvl w:val="0"/>
          <w:numId w:val="2"/>
        </w:numPr>
        <w:spacing w:after="80" w:line="276"/>
      </w:pPr>
      <w:r>
        <w:rPr>
          <w:rFonts w:ascii="Arial" w:cs="Arial" w:eastAsia="Arial" w:hAnsi="Arial"/>
          <w:b/>
          <w:bCs/>
        </w:rPr>
        <w:t xml:space="preserve">Corporate authority and new money. </w:t>
      </w:r>
      <w:r>
        <w:rPr>
          <w:rFonts w:ascii="Arial" w:cs="Arial" w:eastAsia="Arial" w:hAnsi="Arial"/>
        </w:rPr>
        <w:t xml:space="preserve">advising on the Company’s shareholder contribution (new equity subscription and subordinated shareholder loan), board and shareholder approvals and the conditions to completion; and</w:t>
      </w:r>
    </w:p>
    <w:p>
      <w:pPr>
        <w:pStyle w:val="ListParagraph"/>
        <w:numPr>
          <w:ilvl w:val="0"/>
          <w:numId w:val="2"/>
        </w:numPr>
        <w:spacing w:after="80" w:line="276"/>
      </w:pPr>
      <w:r>
        <w:rPr>
          <w:rFonts w:ascii="Arial" w:cs="Arial" w:eastAsia="Arial" w:hAnsi="Arial"/>
          <w:b/>
          <w:bCs/>
        </w:rPr>
        <w:t xml:space="preserve">Directors’ duties. </w:t>
      </w:r>
      <w:r>
        <w:rPr>
          <w:rFonts w:ascii="Arial" w:cs="Arial" w:eastAsia="Arial" w:hAnsi="Arial"/>
        </w:rPr>
        <w:t xml:space="preserve">advising the directors of Wexford and WCB on their duties in the current financial circumstances, on which we will write to you separately under privilege.</w:t>
      </w:r>
    </w:p>
    <w:p>
      <w:pPr>
        <w:spacing w:after="120" w:line="276"/>
      </w:pPr>
      <w:r>
        <w:rPr>
          <w:rFonts w:ascii="Arial" w:cs="Arial" w:eastAsia="Arial" w:hAnsi="Arial"/>
        </w:rPr>
        <w:t xml:space="preserve">Our engagement does not extend to tax structuring advice, pensions advice, or any independent business review, each of which is being provided by Marlow Tax &amp; Advisory Ltd. We will liaise with Marlow as required.</w:t>
      </w:r>
    </w:p>
    <w:p>
      <w:pPr>
        <w:pStyle w:val="Heading2"/>
        <w:spacing w:after="120" w:before="180"/>
      </w:pPr>
      <w:r>
        <w:rPr>
          <w:rFonts w:ascii="Arial" w:cs="Arial" w:eastAsia="Arial" w:hAnsi="Arial"/>
          <w:b/>
          <w:bCs/>
          <w:color w:val="1F3864"/>
          <w:sz w:val="24"/>
          <w:szCs w:val="24"/>
        </w:rPr>
        <w:t xml:space="preserve">2.  Your team</w:t>
      </w:r>
    </w:p>
    <w:p>
      <w:pPr>
        <w:spacing w:after="120" w:line="276"/>
      </w:pPr>
      <w:r>
        <w:rPr>
          <w:rFonts w:ascii="Arial" w:cs="Arial" w:eastAsia="Arial" w:hAnsi="Arial"/>
        </w:rPr>
        <w:t xml:space="preserve">The matter will be led by Sarah Whitfield (Partner, Restructuring &amp; Finance), supported by James Osei (Senior Associate) and Tom Gallagher (Associate). Sarah will have overall conduct of the matter and is your principal point of contact. Our contact details are set out in the enclosed Terms of Business.</w:t>
      </w:r>
    </w:p>
    <w:p>
      <w:pPr>
        <w:pStyle w:val="Heading2"/>
        <w:spacing w:after="120" w:before="180"/>
      </w:pPr>
      <w:r>
        <w:rPr>
          <w:rFonts w:ascii="Arial" w:cs="Arial" w:eastAsia="Arial" w:hAnsi="Arial"/>
          <w:b/>
          <w:bCs/>
          <w:color w:val="1F3864"/>
          <w:sz w:val="24"/>
          <w:szCs w:val="24"/>
        </w:rPr>
        <w:t xml:space="preserve">3.  Fees and disbursements</w:t>
      </w:r>
    </w:p>
    <w:p>
      <w:pPr>
        <w:spacing w:after="120" w:line="276"/>
      </w:pPr>
      <w:r>
        <w:rPr>
          <w:rFonts w:ascii="Arial" w:cs="Arial" w:eastAsia="Arial" w:hAnsi="Arial"/>
        </w:rPr>
        <w:t xml:space="preserve">Our fees are calculated principally by reference to the time spent by those working on the matter, at the following current hourly rates (exclusive of 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800"/>
        <w:gridCol w:w="2200"/>
      </w:tblGrid>
      <w:tr>
        <w:trPr>
          <w:tblHeader/>
        </w:trPr>
        <w:tc>
          <w:tcPr>
            <w:tcW w:type="dxa" w:w="436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Fee earner</w:t>
            </w:r>
          </w:p>
        </w:tc>
        <w:tc>
          <w:tcPr>
            <w:tcW w:type="dxa" w:w="28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Grade</w:t>
            </w:r>
          </w:p>
        </w:tc>
        <w:tc>
          <w:tcPr>
            <w:tcW w:type="dxa" w:w="22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Rate (£/hr)</w:t>
            </w:r>
          </w:p>
        </w:tc>
      </w:tr>
      <w:tr>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Sarah Whitfield</w:t>
            </w:r>
          </w:p>
        </w:tc>
        <w:tc>
          <w:tcPr>
            <w:tcW w:type="dxa" w:w="28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Partner</w:t>
            </w:r>
          </w:p>
        </w:tc>
        <w:tc>
          <w:tcPr>
            <w:tcW w:type="dxa" w:w="22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795</w:t>
            </w:r>
          </w:p>
        </w:tc>
      </w:tr>
      <w:tr>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James Osei</w:t>
            </w:r>
          </w:p>
        </w:tc>
        <w:tc>
          <w:tcPr>
            <w:tcW w:type="dxa" w:w="28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Senior Associate</w:t>
            </w:r>
          </w:p>
        </w:tc>
        <w:tc>
          <w:tcPr>
            <w:tcW w:type="dxa" w:w="22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525</w:t>
            </w:r>
          </w:p>
        </w:tc>
      </w:tr>
      <w:tr>
        <w:tc>
          <w:tcPr>
            <w:tcW w:type="dxa" w:w="4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Tom Gallagher</w:t>
            </w:r>
          </w:p>
        </w:tc>
        <w:tc>
          <w:tcPr>
            <w:tcW w:type="dxa" w:w="28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Associate</w:t>
            </w:r>
          </w:p>
        </w:tc>
        <w:tc>
          <w:tcPr>
            <w:tcW w:type="dxa" w:w="22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385</w:t>
            </w:r>
          </w:p>
        </w:tc>
      </w:tr>
      <w:tr>
        <w:tc>
          <w:tcPr>
            <w:tcW w:type="dxa" w:w="4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Trainee / paralegal support</w:t>
            </w:r>
          </w:p>
        </w:tc>
        <w:tc>
          <w:tcPr>
            <w:tcW w:type="dxa" w:w="28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Junior</w:t>
            </w:r>
          </w:p>
        </w:tc>
        <w:tc>
          <w:tcPr>
            <w:tcW w:type="dxa" w:w="22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210</w:t>
            </w:r>
          </w:p>
        </w:tc>
      </w:tr>
    </w:tbl>
    <w:p>
      <w:pPr>
        <w:spacing w:after="120" w:line="276"/>
      </w:pPr>
      <w:r>
        <w:rPr>
          <w:rFonts w:ascii="Arial" w:cs="Arial" w:eastAsia="Arial" w:hAnsi="Arial"/>
        </w:rPr>
        <w:t xml:space="preserve">Based on the scope above and our current understanding of the timetable, we estimate our fees for the matter through to completion of the amendment and restatement will be in the region of £220,000 to £260,000 plus VAT and disbursements. This is an estimate and not a fixed quotation; we will notify you promptly if it appears the estimate will be exceeded. Under the restructuring, the Borrower is expected to be responsible for the Senior Lender’s legal costs as well as its own; we will agree an appropriate costs undertaking with the Agent’s counsel, Pemberton Rowe LLP.</w:t>
      </w:r>
    </w:p>
    <w:p>
      <w:pPr>
        <w:spacing w:after="120" w:line="276"/>
      </w:pPr>
      <w:r>
        <w:rPr>
          <w:rFonts w:ascii="Arial" w:cs="Arial" w:eastAsia="Arial" w:hAnsi="Arial"/>
        </w:rPr>
        <w:t xml:space="preserve">We will render interim invoices monthly. Disbursements (such as Companies House fees, search fees and counsel’s fees, if any) will be charged in addition.</w:t>
      </w:r>
    </w:p>
    <w:p>
      <w:pPr>
        <w:pStyle w:val="Heading2"/>
        <w:spacing w:after="120" w:before="180"/>
      </w:pPr>
      <w:r>
        <w:rPr>
          <w:rFonts w:ascii="Arial" w:cs="Arial" w:eastAsia="Arial" w:hAnsi="Arial"/>
          <w:b/>
          <w:bCs/>
          <w:color w:val="1F3864"/>
          <w:sz w:val="24"/>
          <w:szCs w:val="24"/>
        </w:rPr>
        <w:t xml:space="preserve">4.  Conflicts, confidentiality and money laundering</w:t>
      </w:r>
    </w:p>
    <w:p>
      <w:pPr>
        <w:spacing w:after="120" w:line="276"/>
      </w:pPr>
      <w:r>
        <w:rPr>
          <w:rFonts w:ascii="Arial" w:cs="Arial" w:eastAsia="Arial" w:hAnsi="Arial"/>
        </w:rPr>
        <w:t xml:space="preserve">We have carried out a conflict check and are not aware of any conflict of interest that would prevent us from acting. We will keep your affairs confidential, subject to our legal and regulatory obligations. As we have acted for the Company previously, we have completed our client due diligence; please notify us of any change to the group’s ownership or controllers.</w:t>
      </w:r>
    </w:p>
    <w:p>
      <w:pPr>
        <w:pStyle w:val="Heading2"/>
        <w:spacing w:after="120" w:before="180"/>
      </w:pPr>
      <w:r>
        <w:rPr>
          <w:rFonts w:ascii="Arial" w:cs="Arial" w:eastAsia="Arial" w:hAnsi="Arial"/>
          <w:b/>
          <w:bCs/>
          <w:color w:val="1F3864"/>
          <w:sz w:val="24"/>
          <w:szCs w:val="24"/>
        </w:rPr>
        <w:t xml:space="preserve">5.  Terms of business and acceptance</w:t>
      </w:r>
    </w:p>
    <w:p>
      <w:pPr>
        <w:spacing w:after="120" w:line="276"/>
      </w:pPr>
      <w:r>
        <w:rPr>
          <w:rFonts w:ascii="Arial" w:cs="Arial" w:eastAsia="Arial" w:hAnsi="Arial"/>
        </w:rPr>
        <w:t xml:space="preserve">This letter is to be read together with our enclosed Terms of Business, which contain important provisions including a limitation of our aggregate liability to the Company in connection with this matter to £10 million. If those terms are acceptable, please confirm your agreement by signing and returning the enclosed copy of this letter. We are very pleased to be assisting the group again and look forward to working with you to a successful outcome.</w:t>
      </w:r>
    </w:p>
    <w:p>
      <w:pPr>
        <w:spacing w:after="120"/>
      </w:pPr>
    </w:p>
    <w:p>
      <w:pPr>
        <w:spacing w:after="120" w:line="276"/>
      </w:pPr>
      <w:r>
        <w:rPr>
          <w:rFonts w:ascii="Arial" w:cs="Arial" w:eastAsia="Arial" w:hAnsi="Arial"/>
        </w:rPr>
        <w:t xml:space="preserve">Yours sincerely</w:t>
      </w:r>
    </w:p>
    <w:p>
      <w:pPr>
        <w:spacing w:after="120"/>
      </w:pPr>
    </w:p>
    <w:p>
      <w:pPr>
        <w:spacing w:after="120" w:line="276"/>
      </w:pPr>
      <w:r>
        <w:rPr>
          <w:rFonts w:ascii="Arial" w:cs="Arial" w:eastAsia="Arial" w:hAnsi="Arial"/>
          <w:b/>
          <w:bCs/>
        </w:rPr>
        <w:t xml:space="preserve">Sarah Whitfield</w:t>
      </w:r>
    </w:p>
    <w:p>
      <w:pPr>
        <w:spacing w:after="120" w:line="276"/>
      </w:pPr>
      <w:r>
        <w:rPr>
          <w:rFonts w:ascii="Arial" w:cs="Arial" w:eastAsia="Arial" w:hAnsi="Arial"/>
        </w:rPr>
        <w:t xml:space="preserve">Partner, for and on behalf of Whitfield Carter LLP</w:t>
      </w:r>
    </w:p>
    <w:p>
      <w:pPr>
        <w:spacing w:after="120" w:line="276"/>
      </w:pPr>
      <w:r>
        <w:rPr>
          <w:rFonts w:ascii="Arial" w:cs="Arial" w:eastAsia="Arial" w:hAnsi="Arial"/>
        </w:rPr>
        <w:t xml:space="preserve">Direct: +44 (0)20 7946 0114   sarah.whitfield@whitfieldcarter.com</w:t>
      </w:r>
    </w:p>
    <w:p>
      <w:pPr>
        <w:spacing w:after="120"/>
      </w:pPr>
    </w:p>
    <w:p>
      <w:pPr>
        <w:pBdr>
          <w:top w:val="single" w:color="BFBFBF" w:sz="4" w:space="1"/>
        </w:pBdr>
        <w:spacing w:after="120" w:before="120"/>
      </w:pPr>
      <w:r>
        <w:rPr>
          <w:rFonts w:ascii="Arial" w:cs="Arial" w:eastAsia="Arial" w:hAnsi="Arial"/>
          <w:i/>
          <w:iCs/>
        </w:rPr>
        <w:t xml:space="preserve">Acknowledged and agreed for and on behalf of Wexford Holdings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Signed: .......................................</w:t>
            </w:r>
          </w:p>
          <w:p>
            <w:pPr>
              <w:spacing w:after="40"/>
            </w:pPr>
            <w:r>
              <w:rPr>
                <w:rFonts w:ascii="Arial" w:cs="Arial" w:eastAsia="Arial" w:hAnsi="Arial"/>
              </w:rPr>
              <w:t xml:space="preserve"/>
            </w:r>
          </w:p>
          <w:p>
            <w:pPr>
              <w:spacing w:after="40"/>
            </w:pPr>
            <w:r>
              <w:rPr>
                <w:rFonts w:ascii="Arial" w:cs="Arial" w:eastAsia="Arial" w:hAnsi="Arial"/>
              </w:rPr>
              <w:t xml:space="preserve">Name: Edward Pennington</w:t>
            </w:r>
          </w:p>
          <w:p>
            <w:pPr>
              <w:spacing w:after="40"/>
            </w:pPr>
            <w:r>
              <w:rPr>
                <w:rFonts w:ascii="Arial" w:cs="Arial" w:eastAsia="Arial" w:hAnsi="Arial"/>
              </w:rPr>
              <w:t xml:space="preserve">Title: Chief Executive</w:t>
            </w:r>
          </w:p>
          <w:p>
            <w:pPr>
              <w:spacing w:after="40"/>
            </w:pPr>
            <w:r>
              <w:rPr>
                <w:rFonts w:ascii="Arial" w:cs="Arial" w:eastAsia="Arial" w:hAnsi="Arial"/>
              </w:rPr>
              <w:t xml:space="preserve">Date: .......................</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Signed: .......................................</w:t>
            </w:r>
          </w:p>
          <w:p>
            <w:pPr>
              <w:spacing w:after="40"/>
            </w:pPr>
            <w:r>
              <w:rPr>
                <w:rFonts w:ascii="Arial" w:cs="Arial" w:eastAsia="Arial" w:hAnsi="Arial"/>
              </w:rPr>
              <w:t xml:space="preserve"/>
            </w:r>
          </w:p>
          <w:p>
            <w:pPr>
              <w:spacing w:after="40"/>
            </w:pPr>
            <w:r>
              <w:rPr>
                <w:rFonts w:ascii="Arial" w:cs="Arial" w:eastAsia="Arial" w:hAnsi="Arial"/>
              </w:rPr>
              <w:t xml:space="preserve">Name: Fiona Aldridge</w:t>
            </w:r>
          </w:p>
          <w:p>
            <w:pPr>
              <w:spacing w:after="40"/>
            </w:pPr>
            <w:r>
              <w:rPr>
                <w:rFonts w:ascii="Arial" w:cs="Arial" w:eastAsia="Arial" w:hAnsi="Arial"/>
              </w:rPr>
              <w:t xml:space="preserve">Title: Chief Financial Officer</w:t>
            </w:r>
          </w:p>
          <w:p>
            <w:pPr>
              <w:spacing w:after="40"/>
            </w:pPr>
            <w:r>
              <w:rPr>
                <w:rFonts w:ascii="Arial" w:cs="Arial" w:eastAsia="Arial" w:hAnsi="Arial"/>
              </w:rPr>
              <w:t xml:space="preserve">Date: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Whitfield Carter LLP — engagement letter — privileged &amp; confidential</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2026-06-10T23:11:41.253Z</dcterms:created>
  <dcterms:modified xsi:type="dcterms:W3CDTF">2026-06-10T23:11:41.253Z</dcterms:modified>
</cp:coreProperties>
</file>

<file path=docProps/custom.xml><?xml version="1.0" encoding="utf-8"?>
<Properties xmlns="http://schemas.openxmlformats.org/officeDocument/2006/custom-properties" xmlns:vt="http://schemas.openxmlformats.org/officeDocument/2006/docPropsVTypes"/>
</file>