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i/>
          <w:iCs/>
          <w:sz w:val="18"/>
          <w:szCs w:val="18"/>
        </w:rPr>
        <w:t xml:space="preserve">Claimant — H. Doyle — First — Exhibit “HD1” — 9 January 2026</w:t>
      </w:r>
    </w:p>
    <w:p>
      <w:pPr>
        <w:spacing w:after="120"/>
        <w:jc w:val="center"/>
      </w:pPr>
      <w:r>
        <w:rPr>
          <w:b/>
          <w:bCs/>
        </w:rPr>
        <w:t xml:space="preserve">IN THE BUSINESS AND PROPERTY COURTS OF ENGLAND AND WALES</w:t>
      </w:r>
    </w:p>
    <w:p>
      <w:pPr>
        <w:spacing w:after="120"/>
        <w:jc w:val="center"/>
      </w:pPr>
      <w:r>
        <w:rPr>
          <w:b/>
          <w:bCs/>
        </w:rPr>
        <w:t xml:space="preserve">KING’S BENCH DIVISION</w:t>
      </w:r>
    </w:p>
    <w:p>
      <w:pPr>
        <w:spacing w:after="120"/>
        <w:jc w:val="center"/>
      </w:pPr>
      <w:r>
        <w:rPr>
          <w:b/>
          <w:bCs/>
        </w:rPr>
        <w:t xml:space="preserve">CIRCUIT COMMERCIAL COURT (KBD)</w:t>
      </w:r>
    </w:p>
    <w:p>
      <w:pPr>
        <w:spacing w:after="120"/>
        <w:jc w:val="right"/>
      </w:pPr>
      <w:r>
        <w:rPr>
          <w:b/>
          <w:bCs/>
        </w:rPr>
        <w:t xml:space="preserve">Claim No. CC-2025-LON-000512</w:t>
      </w:r>
    </w:p>
    <w:p>
      <w:pPr>
        <w:pBdr>
          <w:bottom w:val="single" w:color="000000" w:sz="4" w:space="2"/>
        </w:pBdr>
        <w:spacing w:after="60"/>
      </w:pPr>
      <w:r>
        <w:t xml:space="preserve"/>
      </w:r>
    </w:p>
    <w:p>
      <w:pPr>
        <w:spacing w:after="120"/>
        <w:jc w:val="center"/>
      </w:pPr>
      <w:r>
        <w:rPr>
          <w:b w:val="false"/>
          <w:bCs w:val="false"/>
        </w:rPr>
        <w:t xml:space="preserve">B E T W E E N :</w:t>
      </w:r>
    </w:p>
    <w:p>
      <w:r>
        <w:t xml:space="preserve"/>
      </w:r>
    </w:p>
    <w:p>
      <w:pPr>
        <w:spacing w:after="120"/>
        <w:jc w:val="center"/>
      </w:pPr>
      <w:r>
        <w:rPr>
          <w:b/>
          <w:bCs/>
        </w:rPr>
        <w:t xml:space="preserve">WEXFORD CONSUMER BRANDS LIMITED</w:t>
      </w:r>
    </w:p>
    <w:p>
      <w:pPr>
        <w:jc w:val="right"/>
      </w:pPr>
      <w:r>
        <w:rPr>
          <w:i/>
          <w:iCs/>
        </w:rPr>
        <w:t xml:space="preserve">Claimant</w:t>
      </w:r>
    </w:p>
    <w:p>
      <w:pPr>
        <w:spacing w:after="120"/>
        <w:jc w:val="center"/>
      </w:pPr>
      <w:r>
        <w:rPr>
          <w:b w:val="false"/>
          <w:bCs w:val="false"/>
        </w:rPr>
        <w:t xml:space="preserve">- and -</w:t>
      </w:r>
    </w:p>
    <w:p>
      <w:pPr>
        <w:spacing w:after="120"/>
        <w:jc w:val="center"/>
      </w:pPr>
      <w:r>
        <w:rPr>
          <w:b/>
          <w:bCs/>
        </w:rPr>
        <w:t xml:space="preserve">PINNACLE SYSTEMS LIMITED</w:t>
      </w:r>
    </w:p>
    <w:p>
      <w:pPr>
        <w:jc w:val="right"/>
      </w:pPr>
      <w:r>
        <w:rPr>
          <w:i/>
          <w:iCs/>
        </w:rPr>
        <w:t xml:space="preserve">Defendant</w:t>
      </w:r>
    </w:p>
    <w:p>
      <w:pPr>
        <w:pBdr>
          <w:bottom w:val="single" w:color="000000" w:sz="4" w:space="2"/>
        </w:pBdr>
        <w:spacing w:after="120" w:before="120"/>
      </w:pPr>
      <w:r>
        <w:t xml:space="preserve"/>
      </w:r>
    </w:p>
    <w:p>
      <w:pPr>
        <w:spacing w:after="120"/>
        <w:jc w:val="center"/>
      </w:pPr>
      <w:r>
        <w:rPr>
          <w:b/>
          <w:bCs/>
        </w:rPr>
        <w:t xml:space="preserve">FIRST WITNESS STATEMENT OF HENRY DOYLE</w:t>
      </w:r>
    </w:p>
    <w:p>
      <w:pPr>
        <w:pBdr>
          <w:bottom w:val="single" w:color="000000" w:sz="4" w:space="2"/>
        </w:pBdr>
        <w:spacing w:after="200" w:before="60"/>
      </w:pPr>
      <w:r>
        <w:t xml:space="preserve"/>
      </w:r>
    </w:p>
    <w:p>
      <w:pPr>
        <w:spacing w:after="120"/>
      </w:pPr>
      <w:r>
        <w:t xml:space="preserve">I, HENRY DOYLE, of Wexford Consumer Brands Limited, Banbury Road, Banbury OX16 3JT, WILL SAY as follows:</w:t>
      </w:r>
    </w:p>
    <w:p>
      <w:pPr>
        <w:pStyle w:val="Heading2"/>
      </w:pPr>
      <w:r>
        <w:t xml:space="preserve">Introduction</w:t>
      </w:r>
    </w:p>
    <w:p>
      <w:pPr>
        <w:pStyle w:val="ListParagraph"/>
        <w:numPr>
          <w:ilvl w:val="0"/>
          <w:numId w:val="2"/>
        </w:numPr>
        <w:spacing w:after="120"/>
      </w:pPr>
      <w:r>
        <w:t xml:space="preserve">I am the Operations Director of the Claimant and have held that role since 2019. I make this statement in support of the Claimant’s claim. The facts in this statement are within my own knowledge and are true, save where I indicate that they are derived from documents or from others, in which case I identify the source and believe them to be true.</w:t>
      </w:r>
    </w:p>
    <w:p>
      <w:pPr>
        <w:pStyle w:val="ListParagraph"/>
        <w:numPr>
          <w:ilvl w:val="0"/>
          <w:numId w:val="2"/>
        </w:numPr>
        <w:spacing w:after="120"/>
      </w:pPr>
      <w:r>
        <w:t xml:space="preserve">There is now produced and shown to me a paginated bundle of documents marked “HD1” to which I refer. References in the form [HD1/00] are to pages of that exhibit.</w:t>
      </w:r>
    </w:p>
    <w:p>
      <w:pPr>
        <w:pStyle w:val="Heading2"/>
      </w:pPr>
      <w:r>
        <w:t xml:space="preserve">My role in the project</w:t>
      </w:r>
    </w:p>
    <w:p>
      <w:pPr>
        <w:pStyle w:val="ListParagraph"/>
        <w:numPr>
          <w:ilvl w:val="0"/>
          <w:numId w:val="2"/>
        </w:numPr>
        <w:spacing w:after="120"/>
      </w:pPr>
      <w:r>
        <w:t xml:space="preserve">I was the Claimant’s operational lead on the Pinnacle implementation and sat on the joint Project Board alongside Mr Pennington, the Defendant’s project director and others. My team was responsible for testing the warehouse and despatch processes that the new System was supposed to support across our Banbury, Wakefield and Avonmouth sites.</w:t>
      </w:r>
    </w:p>
    <w:p>
      <w:pPr>
        <w:pStyle w:val="Heading2"/>
      </w:pPr>
      <w:r>
        <w:t xml:space="preserve">The state of the System at UAT</w:t>
      </w:r>
    </w:p>
    <w:p>
      <w:pPr>
        <w:pStyle w:val="ListParagraph"/>
        <w:numPr>
          <w:ilvl w:val="0"/>
          <w:numId w:val="2"/>
        </w:numPr>
        <w:spacing w:after="120"/>
      </w:pPr>
      <w:r>
        <w:t xml:space="preserve">UAT was the moment of truth for the project. Our business runs to BRCGS food-safety standards and cannot operate without accurate stock records and working lot-traceability. At the first formal UAT cycle in August 2024 the System failed 41 of the 96 critical test scripts. I personally witnessed test cases in which a pallet booked into one location appeared in the System in another, and in which a finished-goods code could not be traced back to its raw-material batch. I raised these failures at the Project Board on 28 August 2024 [HD1/112] and made clear that, from an operations standpoint, the System was nowhere near ready.</w:t>
      </w:r>
    </w:p>
    <w:p>
      <w:pPr>
        <w:pStyle w:val="ListParagraph"/>
        <w:numPr>
          <w:ilvl w:val="0"/>
          <w:numId w:val="2"/>
        </w:numPr>
        <w:spacing w:after="120"/>
      </w:pPr>
      <w:r>
        <w:t xml:space="preserve">I accept, as the Defence points out, that I sat on the Project Board that discussed go-live. What the Defence does not say is that my consistent position, recorded in the minutes, was that go-live should not proceed until the priority-1 defects were cleared. The Defendant’s project director repeatedly assured the Board that the outstanding items were “cosmetic” and would be fixed by hyper-care. They were not.</w:t>
      </w:r>
    </w:p>
    <w:p>
      <w:pPr>
        <w:pStyle w:val="Heading2"/>
      </w:pPr>
      <w:r>
        <w:t xml:space="preserve">The Banbury go-live</w:t>
      </w:r>
    </w:p>
    <w:p>
      <w:pPr>
        <w:pStyle w:val="ListParagraph"/>
        <w:numPr>
          <w:ilvl w:val="0"/>
          <w:numId w:val="2"/>
        </w:numPr>
        <w:spacing w:after="120"/>
      </w:pPr>
      <w:r>
        <w:t xml:space="preserve">The go-live on 4 November 2024 was, in my 20 years in food logistics, the worst systems failure I have seen. Within hours the warehouse team could not confirm despatches. By the morning of 5 November the on-hand quantities in the System bore no relation to the physical stock on the racking. We were forced to halt despatch from Banbury entirely. For nine days we ran the site on manual paper picking and emergency spreadsheets, using agency staff around the clock.</w:t>
      </w:r>
    </w:p>
    <w:p>
      <w:pPr>
        <w:pStyle w:val="ListParagraph"/>
        <w:numPr>
          <w:ilvl w:val="0"/>
          <w:numId w:val="2"/>
        </w:numPr>
        <w:spacing w:after="120"/>
      </w:pPr>
      <w:r>
        <w:t xml:space="preserve">The consequences were immediate and serious. We missed delivery windows with two of the grocery multiples and incurred service-level penalties. We paid for expedited haulage to recover what orders we could. And because lot-traceability was not functioning, our technical director advised that we could not have executed a product recall during that period — a risk that, had a recall been required, could have ended customer relationships built over decades.</w:t>
      </w:r>
    </w:p>
    <w:p>
      <w:pPr>
        <w:pStyle w:val="Heading2"/>
      </w:pPr>
      <w:r>
        <w:t xml:space="preserve">Termination</w:t>
      </w:r>
    </w:p>
    <w:p>
      <w:pPr>
        <w:pStyle w:val="ListParagraph"/>
        <w:numPr>
          <w:ilvl w:val="0"/>
          <w:numId w:val="2"/>
        </w:numPr>
        <w:spacing w:after="120"/>
      </w:pPr>
      <w:r>
        <w:t xml:space="preserve">By mid-November it was clear the Defendant had no credible plan to fix the System. We suspended the rollout to Wakefield and Avonmouth on 18 November 2024. After further fruitless meetings, the decision was taken to terminate, and we did so on 24 January 2025. We then had to procure and implement an alternative system, at very substantial additional cost and management time.</w:t>
      </w:r>
    </w:p>
    <w:p>
      <w:pPr>
        <w:pStyle w:val="Heading2"/>
      </w:pPr>
      <w:r>
        <w:t xml:space="preserve">Statement of truth</w:t>
      </w:r>
    </w:p>
    <w:p>
      <w:pPr>
        <w:spacing w:after="120"/>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r>
        <w:t xml:space="preserve"/>
      </w:r>
    </w:p>
    <w:p>
      <w:pPr>
        <w:spacing w:after="120"/>
      </w:pPr>
      <w:r>
        <w:t xml:space="preserve">Signed: ……………………………………</w:t>
      </w:r>
    </w:p>
    <w:p>
      <w:pPr>
        <w:spacing w:after="120"/>
      </w:pPr>
      <w:r>
        <w:t xml:space="preserve">HENRY DOYLE</w:t>
      </w:r>
    </w:p>
    <w:p>
      <w:pPr>
        <w:spacing w:after="120"/>
      </w:pPr>
      <w:r>
        <w:t xml:space="preserve">Dated: 9 January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lvl>
  </w:abstractNum>
  <w:abstractNum w:abstractNumId="3" w15:restartNumberingAfterBreak="0">
    <w:multiLevelType w:val="hybridMultilevel"/>
    <w:lvl w:ilvl="0" w15:tentative="1">
      <w:start w:val="1"/>
      <w:numFmt w:val="lowerLetter"/>
      <w:lvlText w:val="(%1)"/>
      <w:lvlJc w:val="left"/>
      <w:pPr>
        <w:ind w:left="1134" w:hanging="567"/>
      </w:pPr>
    </w:lvl>
  </w:abstractNum>
  <w:abstractNum w:abstractNumId="4" w15:restartNumberingAfterBreak="0">
    <w:multiLevelType w:val="hybridMultilevel"/>
    <w:lvl w:ilvl="0" w15:tentative="1">
      <w:start w:val="1"/>
      <w:numFmt w:val="lowerRoman"/>
      <w:lvlText w:val="(%1)"/>
      <w:lvlJc w:val="left"/>
      <w:pPr>
        <w:ind w:left="1701" w:hanging="567"/>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2026-06-25T18:03:20.126Z</dcterms:created>
  <dcterms:modified xsi:type="dcterms:W3CDTF">2026-06-25T18:03:20.127Z</dcterms:modified>
</cp:coreProperties>
</file>

<file path=docProps/custom.xml><?xml version="1.0" encoding="utf-8"?>
<Properties xmlns="http://schemas.openxmlformats.org/officeDocument/2006/custom-properties" xmlns:vt="http://schemas.openxmlformats.org/officeDocument/2006/docPropsVTypes"/>
</file>