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</w:rPr>
        <w:t xml:space="preserve">WEXFORD CONSUMER BRANDS LIMITED v PINNACLE SYSTEMS LIMITED</w:t>
      </w:r>
    </w:p>
    <w:p>
      <w:pPr>
        <w:spacing w:after="120"/>
        <w:jc w:val="center"/>
      </w:pPr>
      <w:r>
        <w:rPr>
          <w:b w:val="false"/>
          <w:bCs w:val="false"/>
        </w:rPr>
        <w:t xml:space="preserve">Claim No. CC-2025-LON-000512</w:t>
      </w:r>
    </w:p>
    <w:p>
      <w:pPr>
        <w:spacing w:after="120"/>
        <w:jc w:val="center"/>
      </w:pPr>
      <w:r>
        <w:rPr>
          <w:b/>
          <w:bCs/>
        </w:rPr>
        <w:t xml:space="preserve">CHRONOLOGY</w:t>
      </w:r>
    </w:p>
    <w:p>
      <w:pPr>
        <w:spacing w:after="80"/>
      </w:pPr>
      <w:r>
        <w:rPr>
          <w:i/>
          <w:iCs/>
          <w:sz w:val="18"/>
          <w:szCs w:val="18"/>
        </w:rPr>
        <w:t xml:space="preserve">Prepared by Whitfield Carter LLP. Working document — for internal use and case management.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926"/>
        <w:gridCol w:w="11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26 Jan 2024</w:t>
            </w:r>
          </w:p>
        </w:tc>
        <w:tc>
          <w:tcPr>
            <w:tcW w:type="dxa" w:w="5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Statement of Requirements agreed and signed off by both parties.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C/14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 Feb 2024</w:t>
            </w:r>
          </w:p>
        </w:tc>
        <w:tc>
          <w:tcPr>
            <w:tcW w:type="dxa" w:w="5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Solution Design Document agreed.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C/41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Mar 2024</w:t>
            </w:r>
          </w:p>
        </w:tc>
        <w:tc>
          <w:tcPr>
            <w:tcW w:type="dxa" w:w="5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Implementation Agreement executed (charges £1,840,000 + VAT).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C/1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Apr 2024</w:t>
            </w:r>
          </w:p>
        </w:tc>
        <w:tc>
          <w:tcPr>
            <w:tcW w:type="dxa" w:w="5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mobilisation; design workshops commence.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C/88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Jun 2024</w:t>
            </w:r>
          </w:p>
        </w:tc>
        <w:tc>
          <w:tcPr>
            <w:tcW w:type="dxa" w:w="5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Contractual deadline for Claimant master data (per Schedule 4).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C/3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 Jul 2024</w:t>
            </w:r>
          </w:p>
        </w:tc>
        <w:tc>
          <w:tcPr>
            <w:tcW w:type="dxa" w:w="5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Defendant Highlight Report raises data quality / SME availability.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D/22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 Aug 2024</w:t>
            </w:r>
          </w:p>
        </w:tc>
        <w:tc>
          <w:tcPr>
            <w:tcW w:type="dxa" w:w="5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Further Highlight Report repeats data and process-change concerns.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D/29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 Aug 2024</w:t>
            </w:r>
          </w:p>
        </w:tc>
        <w:tc>
          <w:tcPr>
            <w:tcW w:type="dxa" w:w="5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UAT cycle 1: System fails 41 of 96 critical scripts. Project Board.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C/112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 Sep 2024</w:t>
            </w:r>
          </w:p>
        </w:tc>
        <w:tc>
          <w:tcPr>
            <w:tcW w:type="dxa" w:w="5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Claimant master data finally delivered in usable form.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D/34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Oct 2024</w:t>
            </w:r>
          </w:p>
        </w:tc>
        <w:tc>
          <w:tcPr>
            <w:tcW w:type="dxa" w:w="5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sponsor approves Banbury go-live in writing.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D/51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Nov 2024</w:t>
            </w:r>
          </w:p>
        </w:tc>
        <w:tc>
          <w:tcPr>
            <w:tcW w:type="dxa" w:w="5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Banbury technical go-live; stock records corrupted; despatch halts.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C/130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4–12 Nov 2024</w:t>
            </w:r>
          </w:p>
        </w:tc>
        <w:tc>
          <w:tcPr>
            <w:tcW w:type="dxa" w:w="5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Despatch from Banbury halted for nine days; manual operation.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C/131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 Nov 2024</w:t>
            </w:r>
          </w:p>
        </w:tc>
        <w:tc>
          <w:tcPr>
            <w:tcW w:type="dxa" w:w="5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Claimant suspends rollout to Wakefield and Avonmouth.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C/140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 Jan 2025</w:t>
            </w:r>
          </w:p>
        </w:tc>
        <w:tc>
          <w:tcPr>
            <w:tcW w:type="dxa" w:w="5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Claimant terminates the Agreement for repudiatory breach.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C/150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31 Jan 2025</w:t>
            </w:r>
          </w:p>
        </w:tc>
        <w:tc>
          <w:tcPr>
            <w:tcW w:type="dxa" w:w="5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Defendant purports to accept Claimant’s alleged repudiation.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D/60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 Feb 2025</w:t>
            </w:r>
          </w:p>
        </w:tc>
        <w:tc>
          <w:tcPr>
            <w:tcW w:type="dxa" w:w="5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Letter of Claim sent.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C/160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 Mar 2025</w:t>
            </w:r>
          </w:p>
        </w:tc>
        <w:tc>
          <w:tcPr>
            <w:tcW w:type="dxa" w:w="5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Defendant’s response to Letter of Claim (liability denied).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D/70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 Apr 2025</w:t>
            </w:r>
          </w:p>
        </w:tc>
        <w:tc>
          <w:tcPr>
            <w:tcW w:type="dxa" w:w="5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Claim Form and Particulars of Claim issued.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C/170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Jun 2025</w:t>
            </w:r>
          </w:p>
        </w:tc>
        <w:tc>
          <w:tcPr>
            <w:tcW w:type="dxa" w:w="5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Defence and Counterclaim served.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D/80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Jul 2025</w:t>
            </w:r>
          </w:p>
        </w:tc>
        <w:tc>
          <w:tcPr>
            <w:tcW w:type="dxa" w:w="5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Reply and Defence to Counterclaim served.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C/185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 Sep 2025</w:t>
            </w:r>
          </w:p>
        </w:tc>
        <w:tc>
          <w:tcPr>
            <w:tcW w:type="dxa" w:w="5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Costs and Case Management Conference; directions ordered.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C/200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134" w:hanging="567"/>
      </w:pPr>
    </w:lvl>
  </w:abstractNum>
  <w:abstractNum w:abstractNumId="4" w15:restartNumberingAfterBreak="0">
    <w:multiLevelType w:val="hybridMultilevel"/>
    <w:lvl w:ilvl="0" w15:tentative="1">
      <w:start w:val="1"/>
      <w:numFmt w:val="lowerRoman"/>
      <w:lvlText w:val="(%1)"/>
      <w:lvlJc w:val="left"/>
      <w:pPr>
        <w:ind w:left="1701" w:hanging="567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2026-06-25T18:03:20.179Z</dcterms:created>
  <dcterms:modified xsi:type="dcterms:W3CDTF">2026-06-25T18:03:20.179Z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