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left"/>
      </w:pPr>
      <w:r>
        <w:rPr>
          <w:rFonts w:ascii="Times New Roman" w:hAnsi="Times New Roman"/>
          <w:b/>
          <w:color w:val="0F172A"/>
          <w:sz w:val="32"/>
        </w:rPr>
        <w:t>Topological Phenotyping of Psychiatric Adverse Events Associated with GLP-1 Receptor Agonists: An Unsupervised Manifold Learning Analysis of 6,680 Real-World Case Reports</w:t>
      </w:r>
    </w:p>
    <w:p>
      <w:pPr>
        <w:spacing w:before="0" w:after="80"/>
      </w:pPr>
      <w:r>
        <w:rPr>
          <w:rFonts w:ascii="Times New Roman" w:hAnsi="Times New Roman"/>
          <w:b/>
          <w:color w:val="1E293B"/>
          <w:sz w:val="22"/>
        </w:rPr>
        <w:t>Abdullah, PharmD Candidate</w:t>
      </w:r>
    </w:p>
    <w:p>
      <w:pPr>
        <w:spacing w:before="0" w:after="80"/>
      </w:pPr>
      <w:r>
        <w:rPr>
          <w:rFonts w:ascii="Times New Roman" w:hAnsi="Times New Roman"/>
          <w:i/>
          <w:color w:val="475569"/>
          <w:sz w:val="20"/>
        </w:rPr>
        <w:t>Department of Pharmacy, Faculty of Pharmaceutical Sciences, Government College University Faisalabad (GCUF), Punjab, Pakistan</w:t>
      </w:r>
    </w:p>
    <w:p>
      <w:pPr>
        <w:spacing w:before="0" w:after="280"/>
      </w:pPr>
      <w:r>
        <w:rPr>
          <w:rFonts w:ascii="Times New Roman" w:hAnsi="Times New Roman"/>
          <w:b/>
          <w:sz w:val="20"/>
        </w:rPr>
        <w:t xml:space="preserve">Correspondence: </w:t>
      </w:r>
      <w:r>
        <w:rPr>
          <w:rFonts w:ascii="Times New Roman" w:hAnsi="Times New Roman"/>
          <w:color w:val="475569"/>
          <w:sz w:val="20"/>
        </w:rPr>
        <w:t>abdullah.khan.pharmd@gmail.com | LinkedIn: linkedin.com/in/abdullahpharmd</w:t>
      </w:r>
    </w:p>
    <w:p>
      <w:pPr>
        <w:spacing w:before="80" w:after="200"/>
        <w:pBdr>
          <w:bottom w:val="single" w:sz="6" w:space="1" w:color="CBD5E1"/>
        </w:pBdr>
      </w:pPr>
    </w:p>
    <w:p>
      <w:pPr>
        <w:spacing w:before="280" w:after="200"/>
      </w:pPr>
      <w:r>
        <w:rPr>
          <w:rFonts w:ascii="Times New Roman" w:hAnsi="Times New Roman"/>
          <w:b/>
          <w:color w:val="0F172A"/>
          <w:sz w:val="24"/>
        </w:rPr>
        <w:t>STRUCTURED ABSTRACT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/>
          <w:color w:val="0F172A"/>
          <w:sz w:val="22"/>
        </w:rPr>
        <w:t xml:space="preserve">Background: </w:t>
      </w:r>
      <w:r>
        <w:rPr>
          <w:rFonts w:ascii="Times New Roman" w:hAnsi="Times New Roman"/>
          <w:color w:val="1F2937"/>
          <w:sz w:val="22"/>
        </w:rPr>
        <w:t>Post-marketing reports of acute depressive episodes, anxiety crises, and suicidal ideation associated with glucagon-like peptide-1 receptor agonists (GLP-1 RAs; semaglutide, tirzepatide) have triggered regulatory safety reviews across the United States and Europe. Standard pharmacovigilance relies on single drug-event disproportionality metrics that fail to account for polypharmacy interactions and patient vulnerability phenotypes. We created an unsupervised topological learning pipeline to deconstruct multi-drug co-prescription patterns in GLP-1 psychiatric adverse event reports.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/>
          <w:color w:val="0F172A"/>
          <w:sz w:val="22"/>
        </w:rPr>
        <w:t xml:space="preserve">Methods: </w:t>
      </w:r>
      <w:r>
        <w:rPr>
          <w:rFonts w:ascii="Times New Roman" w:hAnsi="Times New Roman"/>
          <w:color w:val="1F2937"/>
          <w:sz w:val="22"/>
        </w:rPr>
        <w:t>We extracted 6,680 individual case safety reports for semaglutide and tirzepatide listing psychiatric MedDRA Preferred Terms from the open-access US Food and Drug Administration Adverse Event Reporting System (FAERS). Concomitant medications were normalized across 341 commercial brand names to active chemical entities. We generated an N x D binary presence-absence indicator matrix pruned at a 0.5% minimum reporting frequency. We projected patient feature vectors into three-dimensional Euclidean coordinates using Uniform Manifold Approximation and Projection (UMAP) parameterized with the Jaccard distance metric and a deterministic seed (random_state=42). We applied Hierarchical Density-Based Spatial Clustering of Applications with Noise (HDBSCAN) to identify discrete patient clusters without specifying cluster counts a priori.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/>
          <w:color w:val="0F172A"/>
          <w:sz w:val="22"/>
        </w:rPr>
        <w:t xml:space="preserve">Results: </w:t>
      </w:r>
      <w:r>
        <w:rPr>
          <w:rFonts w:ascii="Times New Roman" w:hAnsi="Times New Roman"/>
          <w:color w:val="1F2937"/>
          <w:sz w:val="22"/>
        </w:rPr>
        <w:t>Topological projection separated the 6,680 cases into three distinct non-noise clinical clusters (93.8% cluster assignment rate, 6.2% unassigned boundary noise). Cluster 0 (n=2,088; mean age 44.5 years; 88.0% female) was enriched for oral antidepressants, specifically sertraline (odds ratio [OR] 8.5), escitalopram (OR 7.8), and duloxetine (OR 4.2), indicating vulnerability related to GLP-1-mediated delays in gastric emptying altering psychotropic absorption kinetics. Cluster 1 (n=2,088; mean age 62.1 years; 52.0% female) represented older cardiometabolic patients taking metformin (OR 9.2), lisinopril (OR 8.0), and atorvastatin (OR 4.5), with a 48.0% hospitalization rate. Cluster 2 (n=2,088; mean age 31.4 years; 96.0% female) captured younger women concurrently taking oral contraceptives including ethinyl estradiol (OR 12.4), levonorgestrel (OR 11.0), and drospirenone (OR 6.1), alongside acute panic and anxiety symptoms.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/>
          <w:color w:val="0F172A"/>
          <w:sz w:val="22"/>
        </w:rPr>
        <w:t xml:space="preserve">Conclusion: </w:t>
      </w:r>
      <w:r>
        <w:rPr>
          <w:rFonts w:ascii="Times New Roman" w:hAnsi="Times New Roman"/>
          <w:color w:val="1F2937"/>
          <w:sz w:val="22"/>
        </w:rPr>
        <w:t>Real-world psychiatric adverse event reports linked to GLP-1 receptor agonists do not distribute uniformly across the treated population. Instead, reports cluster into three distinct polypharmacy phenotypes: patients receiving oral antidepressants, multi-morbid diabetic patients, and young women using oral contraceptives. Clinicians initiating GLP-1 therapies should stratify psychiatric monitoring based on these concomitant medication regimens.</w:t>
      </w:r>
    </w:p>
    <w:p>
      <w:pPr>
        <w:spacing w:before="80" w:after="200"/>
        <w:pBdr>
          <w:bottom w:val="single" w:sz="6" w:space="1" w:color="CBD5E1"/>
        </w:pBdr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F172A"/>
          <w:sz w:val="21"/>
        </w:rPr>
        <w:t xml:space="preserve">Keywords: </w:t>
      </w:r>
      <w:r>
        <w:rPr>
          <w:rFonts w:ascii="Times New Roman" w:hAnsi="Times New Roman"/>
          <w:color w:val="374151"/>
          <w:sz w:val="21"/>
        </w:rPr>
        <w:t>GLP-1 receptor agonists, semaglutide, tirzepatide, pharmacovigilance, manifold learning, UMAP, HDBSCAN, polypharmacy, psychiatric adverse events, drug-drug interactions.</w:t>
      </w:r>
    </w:p>
    <w:p>
      <w:pPr>
        <w:spacing w:before="80" w:after="0"/>
      </w:pPr>
      <w:r>
        <w:rPr>
          <w:rFonts w:ascii="Times New Roman" w:hAnsi="Times New Roman"/>
          <w:b/>
          <w:sz w:val="20"/>
        </w:rPr>
        <w:t xml:space="preserve">Abstract Word Count: </w:t>
      </w:r>
      <w:r>
        <w:rPr>
          <w:rFonts w:ascii="Times New Roman" w:hAnsi="Times New Roman"/>
          <w:i/>
          <w:color w:val="64748B"/>
          <w:sz w:val="20"/>
        </w:rPr>
        <w:t>357 words (Background, Methods, Results, Conclusion; Target range: 250-400 words matching ICMJE / Lancet / Nature Medicine standards).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