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Calibri" w:hAnsi="Calibri"/>
          <w:b/>
          <w:color w:val="059669"/>
          <w:sz w:val="19"/>
        </w:rPr>
        <w:t>SOVEREIGN CYBER DEFENSE BLUEPRINT • EMIRATE OF DUBAI / UAE</w:t>
      </w:r>
    </w:p>
    <w:p>
      <w:pPr>
        <w:spacing w:after="120"/>
      </w:pPr>
      <w:r>
        <w:rPr>
          <w:rFonts w:ascii="Calibri" w:hAnsi="Calibri"/>
          <w:b/>
          <w:color w:val="0B1B3D"/>
          <w:sz w:val="52"/>
        </w:rPr>
        <w:t>PROJECT HARES (مشروع حارس)</w:t>
      </w:r>
    </w:p>
    <w:p>
      <w:pPr>
        <w:spacing w:after="320"/>
      </w:pPr>
      <w:r>
        <w:rPr>
          <w:rFonts w:ascii="Calibri" w:hAnsi="Calibri"/>
          <w:color w:val="334155"/>
          <w:sz w:val="26"/>
        </w:rPr>
        <w:t>Autonomous Multi-Modal Cyber Fraud Triage &amp; Threat Intelligence System</w:t>
      </w:r>
    </w:p>
    <w:tbl>
      <w:tblPr>
        <w:tblW w:type="auto" w:w="0"/>
        <w:jc w:val="center"/>
        <w:tblLook w:firstColumn="1" w:firstRow="1" w:lastColumn="0" w:lastRow="0" w:noHBand="0" w:noVBand="1" w:val="04A0"/>
      </w:tblPr>
      <w:tblGrid>
        <w:gridCol w:w="3168"/>
        <w:gridCol w:w="6192"/>
      </w:tblGrid>
      <w:tr>
        <w:tc>
          <w:tcPr>
            <w:tcW w:type="dxa" w:w="4680"/>
            <w:shd w:fill="F8FAFC"/>
            <w:tcMar>
              <w:top w:w="60" w:type="dxa"/>
              <w:bottom w:w="60" w:type="dxa"/>
              <w:left w:w="100" w:type="dxa"/>
              <w:right w:w="100" w:type="dxa"/>
            </w:tcMar>
          </w:tcPr>
          <w:p>
            <w:r>
              <w:rPr>
                <w:b/>
                <w:color w:val="0B1B3D"/>
                <w:sz w:val="18"/>
              </w:rPr>
              <w:t>Status &amp; Version:</w:t>
            </w:r>
          </w:p>
        </w:tc>
        <w:tc>
          <w:tcPr>
            <w:tcW w:type="dxa" w:w="4680"/>
            <w:shd w:fill="FFFFFF"/>
            <w:tcMar>
              <w:top w:w="60" w:type="dxa"/>
              <w:bottom w:w="60" w:type="dxa"/>
              <w:left w:w="100" w:type="dxa"/>
              <w:right w:w="100" w:type="dxa"/>
            </w:tcMar>
          </w:tcPr>
          <w:p>
            <w:r>
              <w:rPr>
                <w:color w:val="334155"/>
                <w:sz w:val="18"/>
              </w:rPr>
              <w:t>Production Verified &amp; Live • Version 1.0.0-PROD-MASTER</w:t>
            </w:r>
          </w:p>
        </w:tc>
      </w:tr>
      <w:tr>
        <w:tc>
          <w:tcPr>
            <w:tcW w:type="dxa" w:w="4680"/>
            <w:shd w:fill="F8FAFC"/>
            <w:tcMar>
              <w:top w:w="60" w:type="dxa"/>
              <w:bottom w:w="60" w:type="dxa"/>
              <w:left w:w="100" w:type="dxa"/>
              <w:right w:w="100" w:type="dxa"/>
            </w:tcMar>
          </w:tcPr>
          <w:p>
            <w:r>
              <w:rPr>
                <w:b/>
                <w:color w:val="0B1B3D"/>
                <w:sz w:val="18"/>
              </w:rPr>
              <w:t>Active Deployments:</w:t>
            </w:r>
          </w:p>
        </w:tc>
        <w:tc>
          <w:tcPr>
            <w:tcW w:type="dxa" w:w="4680"/>
            <w:shd w:fill="FFFFFF"/>
            <w:tcMar>
              <w:top w:w="60" w:type="dxa"/>
              <w:bottom w:w="60" w:type="dxa"/>
              <w:left w:w="100" w:type="dxa"/>
              <w:right w:w="100" w:type="dxa"/>
            </w:tcMar>
          </w:tcPr>
          <w:p>
            <w:r>
              <w:rPr>
                <w:color w:val="334155"/>
                <w:sz w:val="18"/>
              </w:rPr>
              <w:t>Vercel Edge (Citizen/SOC Portal) • Render (FastAPI) • Hugging Face ZeroGPU</w:t>
            </w:r>
          </w:p>
        </w:tc>
      </w:tr>
      <w:tr>
        <w:tc>
          <w:tcPr>
            <w:tcW w:type="dxa" w:w="4680"/>
            <w:shd w:fill="F8FAFC"/>
            <w:tcMar>
              <w:top w:w="60" w:type="dxa"/>
              <w:bottom w:w="60" w:type="dxa"/>
              <w:left w:w="100" w:type="dxa"/>
              <w:right w:w="100" w:type="dxa"/>
            </w:tcMar>
          </w:tcPr>
          <w:p>
            <w:r>
              <w:rPr>
                <w:b/>
                <w:color w:val="0B1B3D"/>
                <w:sz w:val="18"/>
              </w:rPr>
              <w:t>Database Architecture:</w:t>
            </w:r>
          </w:p>
        </w:tc>
        <w:tc>
          <w:tcPr>
            <w:tcW w:type="dxa" w:w="4680"/>
            <w:shd w:fill="FFFFFF"/>
            <w:tcMar>
              <w:top w:w="60" w:type="dxa"/>
              <w:bottom w:w="60" w:type="dxa"/>
              <w:left w:w="100" w:type="dxa"/>
              <w:right w:w="100" w:type="dxa"/>
            </w:tcMar>
          </w:tcPr>
          <w:p>
            <w:r>
              <w:rPr>
                <w:color w:val="334155"/>
                <w:sz w:val="18"/>
              </w:rPr>
              <w:t>Neon Serverless PostgreSQL 16 (AWS Cloud Managed Tier with TLS Pooling)</w:t>
            </w:r>
          </w:p>
        </w:tc>
      </w:tr>
      <w:tr>
        <w:tc>
          <w:tcPr>
            <w:tcW w:type="dxa" w:w="4680"/>
            <w:shd w:fill="F8FAFC"/>
            <w:tcMar>
              <w:top w:w="60" w:type="dxa"/>
              <w:bottom w:w="60" w:type="dxa"/>
              <w:left w:w="100" w:type="dxa"/>
              <w:right w:w="100" w:type="dxa"/>
            </w:tcMar>
          </w:tcPr>
          <w:p>
            <w:r>
              <w:rPr>
                <w:b/>
                <w:color w:val="0B1B3D"/>
                <w:sz w:val="18"/>
              </w:rPr>
              <w:t>Legal Governance:</w:t>
            </w:r>
          </w:p>
        </w:tc>
        <w:tc>
          <w:tcPr>
            <w:tcW w:type="dxa" w:w="4680"/>
            <w:shd w:fill="FFFFFF"/>
            <w:tcMar>
              <w:top w:w="60" w:type="dxa"/>
              <w:bottom w:w="60" w:type="dxa"/>
              <w:left w:w="100" w:type="dxa"/>
              <w:right w:w="100" w:type="dxa"/>
            </w:tcMar>
          </w:tcPr>
          <w:p>
            <w:r>
              <w:rPr>
                <w:color w:val="334155"/>
                <w:sz w:val="18"/>
              </w:rPr>
              <w:t>Independent Open Source Project • Not an Official Government Agency</w:t>
            </w:r>
          </w:p>
        </w:tc>
      </w:tr>
    </w:tbl>
    <w:p>
      <w:pPr>
        <w:spacing w:after="280"/>
      </w:pPr>
    </w:p>
    <w:tbl>
      <w:tblPr>
        <w:tblW w:type="auto" w:w="0"/>
        <w:jc w:val="center"/>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left w:val="single" w:sz="36" w:space="0" w:color="D97706"/>
              <w:bottom w:val="none"/>
              <w:right w:val="none"/>
            </w:tcBorders>
          </w:tcPr>
          <w:p>
            <w:pPr>
              <w:spacing w:before="0" w:after="0" w:line="276" w:lineRule="auto"/>
            </w:pPr>
            <w:r>
              <w:rPr>
                <w:rFonts w:ascii="Calibri" w:hAnsi="Calibri"/>
                <w:b/>
                <w:color w:val="0B1B3D"/>
                <w:sz w:val="19"/>
              </w:rPr>
              <w:t>[LEGAL LIMITATION OF LIABILITY &amp; OPEN-SOURCE NOTICE]</w:t>
              <w:br/>
            </w:r>
            <w:r>
              <w:rPr>
                <w:rFonts w:ascii="Calibri" w:hAnsi="Calibri"/>
                <w:color w:val="334155"/>
                <w:sz w:val="19"/>
              </w:rPr>
              <w:t>Project Hares is an independent open-source cybersecurity project developed for community fraud triage and is not an official government website, agency, or law enforcement division. While Project Hares applies strict conformal statistical calibration to bound error rates (≤ 0.1%), automated models are advisory. Users must remain vigilant and apply sound judgment. The developers, open-source contributors, and operators disclaim any liability for direct, indirect, or consequential damages resulting from reliance on triage verdicts, third-party fraud, or actions taken prior to submitting content. All confirmed threats are synchronized with Dubai Police e-Crime (https://www.ecrime.ae) and hotline 901.</w:t>
            </w:r>
          </w:p>
        </w:tc>
      </w:tr>
    </w:tbl>
    <w:p>
      <w:pPr>
        <w:spacing w:after="80"/>
      </w:pPr>
    </w:p>
    <w:p>
      <w:r>
        <w:br w:type="page"/>
      </w:r>
    </w:p>
    <w:p>
      <w:pPr>
        <w:keepNext/>
        <w:spacing w:before="360" w:after="120"/>
      </w:pPr>
      <w:r>
        <w:rPr>
          <w:rFonts w:ascii="Calibri" w:hAnsi="Calibri"/>
          <w:b/>
          <w:color w:val="0B1B3D"/>
          <w:sz w:val="30"/>
        </w:rPr>
        <w:t>1. Executive Summary &amp; Problem Context</w:t>
      </w:r>
    </w:p>
    <w:p>
      <w:pPr>
        <w:spacing w:before="0" w:after="100" w:line="276" w:lineRule="auto"/>
      </w:pPr>
      <w:r>
        <w:rPr>
          <w:rFonts w:ascii="Calibri" w:hAnsi="Calibri"/>
          <w:color w:val="334155"/>
          <w:sz w:val="20"/>
        </w:rPr>
        <w:t>Residents and organizations across the Emirate of Dubai face an aggressive proliferation of targeted social engineering campaigns. Fraud syndicates systematically impersonate trusted municipal infrastructure to manipulate victims into urgent compliance:</w:t>
      </w:r>
    </w:p>
    <w:p>
      <w:pPr>
        <w:pStyle w:val="ListBullet"/>
        <w:spacing w:before="0" w:after="60" w:line="276" w:lineRule="auto"/>
      </w:pPr>
      <w:r>
        <w:rPr>
          <w:rFonts w:ascii="Calibri" w:hAnsi="Calibri"/>
          <w:b/>
          <w:color w:val="0B1B3D"/>
          <w:sz w:val="20"/>
        </w:rPr>
        <w:t xml:space="preserve">• Salik Toll Violations: </w:t>
      </w:r>
      <w:r>
        <w:rPr>
          <w:rFonts w:ascii="Calibri" w:hAnsi="Calibri"/>
          <w:color w:val="334155"/>
          <w:sz w:val="20"/>
        </w:rPr>
        <w:t>Deceptive SMS notifications alleging overdue toll violations with phishing payment links (e.g., salik-recharge.cc).</w:t>
      </w:r>
    </w:p>
    <w:p>
      <w:pPr>
        <w:pStyle w:val="ListBullet"/>
        <w:spacing w:before="0" w:after="60" w:line="276" w:lineRule="auto"/>
      </w:pPr>
      <w:r>
        <w:rPr>
          <w:rFonts w:ascii="Calibri" w:hAnsi="Calibri"/>
          <w:b/>
          <w:color w:val="0B1B3D"/>
          <w:sz w:val="20"/>
        </w:rPr>
        <w:t xml:space="preserve">• Dubai Police GHQ: </w:t>
      </w:r>
      <w:r>
        <w:rPr>
          <w:rFonts w:ascii="Calibri" w:hAnsi="Calibri"/>
          <w:color w:val="334155"/>
          <w:sz w:val="20"/>
        </w:rPr>
        <w:t>Fabricated legal summonses threatening immediate arrest, asset freezing, and travel bans.</w:t>
      </w:r>
    </w:p>
    <w:p>
      <w:pPr>
        <w:pStyle w:val="ListBullet"/>
        <w:spacing w:before="0" w:after="60" w:line="276" w:lineRule="auto"/>
      </w:pPr>
      <w:r>
        <w:rPr>
          <w:rFonts w:ascii="Calibri" w:hAnsi="Calibri"/>
          <w:b/>
          <w:color w:val="0B1B3D"/>
          <w:sz w:val="20"/>
        </w:rPr>
        <w:t xml:space="preserve">• Emirates Post (Empost): </w:t>
      </w:r>
      <w:r>
        <w:rPr>
          <w:rFonts w:ascii="Calibri" w:hAnsi="Calibri"/>
          <w:color w:val="334155"/>
          <w:sz w:val="20"/>
        </w:rPr>
        <w:t>Fake parcel delivery holds demanding immediate customs clearance fee payments via credit card.</w:t>
      </w:r>
    </w:p>
    <w:p>
      <w:pPr>
        <w:pStyle w:val="ListBullet"/>
        <w:spacing w:before="0" w:after="60" w:line="276" w:lineRule="auto"/>
      </w:pPr>
      <w:r>
        <w:rPr>
          <w:rFonts w:ascii="Calibri" w:hAnsi="Calibri"/>
          <w:b/>
          <w:color w:val="0B1B3D"/>
          <w:sz w:val="20"/>
        </w:rPr>
        <w:t xml:space="preserve">• UAE Central Bank &amp; Banks: </w:t>
      </w:r>
      <w:r>
        <w:rPr>
          <w:rFonts w:ascii="Calibri" w:hAnsi="Calibri"/>
          <w:color w:val="334155"/>
          <w:sz w:val="20"/>
        </w:rPr>
        <w:t>Urgent account freezing notices coercing users to upload Emirates ID biometrics and OTP tokens.</w:t>
      </w:r>
    </w:p>
    <w:p>
      <w:pPr>
        <w:pStyle w:val="ListBullet"/>
        <w:spacing w:before="0" w:after="60" w:line="276" w:lineRule="auto"/>
      </w:pPr>
      <w:r>
        <w:rPr>
          <w:rFonts w:ascii="Calibri" w:hAnsi="Calibri"/>
          <w:b/>
          <w:color w:val="0B1B3D"/>
          <w:sz w:val="20"/>
        </w:rPr>
        <w:t xml:space="preserve">• Synthetic Voice Cloning: </w:t>
      </w:r>
      <w:r>
        <w:rPr>
          <w:rFonts w:ascii="Calibri" w:hAnsi="Calibri"/>
          <w:color w:val="334155"/>
          <w:sz w:val="20"/>
        </w:rPr>
        <w:t>AI voice cloned audio voice notes delivered via WhatsApp to simulate distress and bypass family verification.</w:t>
      </w:r>
    </w:p>
    <w:p>
      <w:pPr>
        <w:spacing w:before="0" w:after="100" w:line="276" w:lineRule="auto"/>
      </w:pPr>
      <w:r>
        <w:rPr>
          <w:rFonts w:ascii="Calibri" w:hAnsi="Calibri"/>
          <w:color w:val="334155"/>
          <w:sz w:val="20"/>
        </w:rPr>
        <w:t>Traditional defenses suffer from two structural failures: (1) manual review queues require 24 to 48 hours while victims click within 15 minutes, and (2) commercial AI triage pipes sensitive citizen communications to offshore APIs, violating national data sovereignty under UAE Federal Decree-Law No. 45 (PDPL).</w:t>
      </w:r>
    </w:p>
    <w:p>
      <w:pPr>
        <w:keepNext/>
        <w:spacing w:before="360" w:after="120"/>
      </w:pPr>
      <w:r>
        <w:rPr>
          <w:rFonts w:ascii="Calibri" w:hAnsi="Calibri"/>
          <w:b/>
          <w:color w:val="0B1B3D"/>
          <w:sz w:val="30"/>
        </w:rPr>
        <w:t>2. Core Architectural Invariants</w:t>
      </w:r>
    </w:p>
    <w:p>
      <w:pPr>
        <w:spacing w:before="0" w:after="100" w:line="276" w:lineRule="auto"/>
      </w:pPr>
      <w:r>
        <w:rPr>
          <w:rFonts w:ascii="Calibri" w:hAnsi="Calibri"/>
          <w:color w:val="334155"/>
          <w:sz w:val="20"/>
        </w:rPr>
        <w:t>Project Hares enforces five uncompromising engineering invariants across every operation:</w:t>
      </w:r>
    </w:p>
    <w:tbl>
      <w:tblPr>
        <w:tblW w:type="auto" w:w="0"/>
        <w:jc w:val="center"/>
        <w:tblLook w:firstColumn="1" w:firstRow="1" w:lastColumn="0" w:lastRow="0" w:noHBand="0" w:noVBand="1" w:val="04A0"/>
      </w:tblPr>
      <w:tblGrid>
        <w:gridCol w:w="2592"/>
        <w:gridCol w:w="4608"/>
        <w:gridCol w:w="2160"/>
      </w:tblGrid>
      <w:tr>
        <w:tc>
          <w:tcPr>
            <w:tcW w:type="dxa" w:w="3120"/>
            <w:shd w:fill="0B1B3D"/>
            <w:tcMar>
              <w:top w:w="80" w:type="dxa"/>
              <w:bottom w:w="80" w:type="dxa"/>
              <w:left w:w="100" w:type="dxa"/>
              <w:right w:w="100" w:type="dxa"/>
            </w:tcMar>
          </w:tcPr>
          <w:p>
            <w:r>
              <w:rPr>
                <w:b/>
                <w:color w:val="FFFFFF"/>
                <w:sz w:val="18"/>
              </w:rPr>
              <w:t>Sovereign Invariant</w:t>
            </w:r>
          </w:p>
        </w:tc>
        <w:tc>
          <w:tcPr>
            <w:tcW w:type="dxa" w:w="3120"/>
            <w:shd w:fill="0B1B3D"/>
            <w:tcMar>
              <w:top w:w="80" w:type="dxa"/>
              <w:bottom w:w="80" w:type="dxa"/>
              <w:left w:w="100" w:type="dxa"/>
              <w:right w:w="100" w:type="dxa"/>
            </w:tcMar>
          </w:tcPr>
          <w:p>
            <w:r>
              <w:rPr>
                <w:b/>
                <w:color w:val="FFFFFF"/>
                <w:sz w:val="18"/>
              </w:rPr>
              <w:t>Technical Implementation &amp; Rationale</w:t>
            </w:r>
          </w:p>
        </w:tc>
        <w:tc>
          <w:tcPr>
            <w:tcW w:type="dxa" w:w="3120"/>
            <w:shd w:fill="0B1B3D"/>
            <w:tcMar>
              <w:top w:w="80" w:type="dxa"/>
              <w:bottom w:w="80" w:type="dxa"/>
              <w:left w:w="100" w:type="dxa"/>
              <w:right w:w="100" w:type="dxa"/>
            </w:tcMar>
          </w:tcPr>
          <w:p>
            <w:r>
              <w:rPr>
                <w:b/>
                <w:color w:val="FFFFFF"/>
                <w:sz w:val="18"/>
              </w:rPr>
              <w:t>Verified Performance</w:t>
            </w:r>
          </w:p>
        </w:tc>
      </w:tr>
      <w:tr>
        <w:tc>
          <w:tcPr>
            <w:tcW w:type="dxa" w:w="3120"/>
            <w:shd w:fill="FFFFFF"/>
            <w:tcMar>
              <w:top w:w="80" w:type="dxa"/>
              <w:bottom w:w="80" w:type="dxa"/>
              <w:left w:w="100" w:type="dxa"/>
              <w:right w:w="100" w:type="dxa"/>
            </w:tcMar>
          </w:tcPr>
          <w:p>
            <w:r>
              <w:rPr>
                <w:b/>
                <w:color w:val="0B1B3D"/>
                <w:sz w:val="17"/>
              </w:rPr>
              <w:t>Sub-Second Ingress (FR-3.3)</w:t>
            </w:r>
          </w:p>
        </w:tc>
        <w:tc>
          <w:tcPr>
            <w:tcW w:type="dxa" w:w="3120"/>
            <w:shd w:fill="FFFFFF"/>
            <w:tcMar>
              <w:top w:w="80" w:type="dxa"/>
              <w:bottom w:w="80" w:type="dxa"/>
              <w:left w:w="100" w:type="dxa"/>
              <w:right w:w="100" w:type="dxa"/>
            </w:tcMar>
          </w:tcPr>
          <w:p>
            <w:r>
              <w:rPr>
                <w:color w:val="334155"/>
                <w:sz w:val="17"/>
              </w:rPr>
              <w:t>Webhook HMAC-SHA256 signature check &amp; asynchronous Celery/Redis queue push.</w:t>
            </w:r>
          </w:p>
        </w:tc>
        <w:tc>
          <w:tcPr>
            <w:tcW w:type="dxa" w:w="3120"/>
            <w:shd w:fill="FFFFFF"/>
            <w:tcMar>
              <w:top w:w="80" w:type="dxa"/>
              <w:bottom w:w="80" w:type="dxa"/>
              <w:left w:w="100" w:type="dxa"/>
              <w:right w:w="100" w:type="dxa"/>
            </w:tcMar>
          </w:tcPr>
          <w:p>
            <w:r>
              <w:rPr>
                <w:color w:val="059669"/>
                <w:sz w:val="17"/>
              </w:rPr>
              <w:t>3.5ms P99 (Budget: 500ms)</w:t>
            </w:r>
          </w:p>
        </w:tc>
      </w:tr>
      <w:tr>
        <w:tc>
          <w:tcPr>
            <w:tcW w:type="dxa" w:w="3120"/>
            <w:shd w:fill="F8FAFC"/>
            <w:tcMar>
              <w:top w:w="80" w:type="dxa"/>
              <w:bottom w:w="80" w:type="dxa"/>
              <w:left w:w="100" w:type="dxa"/>
              <w:right w:w="100" w:type="dxa"/>
            </w:tcMar>
          </w:tcPr>
          <w:p>
            <w:r>
              <w:rPr>
                <w:b/>
                <w:color w:val="0B1B3D"/>
                <w:sz w:val="17"/>
              </w:rPr>
              <w:t>100% Data Sovereignty (NFR-1.1)</w:t>
            </w:r>
          </w:p>
        </w:tc>
        <w:tc>
          <w:tcPr>
            <w:tcW w:type="dxa" w:w="3120"/>
            <w:shd w:fill="F8FAFC"/>
            <w:tcMar>
              <w:top w:w="80" w:type="dxa"/>
              <w:bottom w:w="80" w:type="dxa"/>
              <w:left w:w="100" w:type="dxa"/>
              <w:right w:w="100" w:type="dxa"/>
            </w:tcMar>
          </w:tcPr>
          <w:p>
            <w:r>
              <w:rPr>
                <w:color w:val="334155"/>
                <w:sz w:val="17"/>
              </w:rPr>
              <w:t>100% on-premise model execution; zero resident telemetry dispatched offshore.</w:t>
            </w:r>
          </w:p>
        </w:tc>
        <w:tc>
          <w:tcPr>
            <w:tcW w:type="dxa" w:w="3120"/>
            <w:shd w:fill="F8FAFC"/>
            <w:tcMar>
              <w:top w:w="80" w:type="dxa"/>
              <w:bottom w:w="80" w:type="dxa"/>
              <w:left w:w="100" w:type="dxa"/>
              <w:right w:w="100" w:type="dxa"/>
            </w:tcMar>
          </w:tcPr>
          <w:p>
            <w:r>
              <w:rPr>
                <w:color w:val="059669"/>
                <w:sz w:val="17"/>
              </w:rPr>
              <w:t>Certified On-Premise</w:t>
            </w:r>
          </w:p>
        </w:tc>
      </w:tr>
      <w:tr>
        <w:tc>
          <w:tcPr>
            <w:tcW w:type="dxa" w:w="3120"/>
            <w:shd w:fill="FFFFFF"/>
            <w:tcMar>
              <w:top w:w="80" w:type="dxa"/>
              <w:bottom w:w="80" w:type="dxa"/>
              <w:left w:w="100" w:type="dxa"/>
              <w:right w:w="100" w:type="dxa"/>
            </w:tcMar>
          </w:tcPr>
          <w:p>
            <w:r>
              <w:rPr>
                <w:b/>
                <w:color w:val="0B1B3D"/>
                <w:sz w:val="17"/>
              </w:rPr>
              <w:t>Zero Citizen PII Retention (FR-4.1)</w:t>
            </w:r>
          </w:p>
        </w:tc>
        <w:tc>
          <w:tcPr>
            <w:tcW w:type="dxa" w:w="3120"/>
            <w:shd w:fill="FFFFFF"/>
            <w:tcMar>
              <w:top w:w="80" w:type="dxa"/>
              <w:bottom w:w="80" w:type="dxa"/>
              <w:left w:w="100" w:type="dxa"/>
              <w:right w:w="100" w:type="dxa"/>
            </w:tcMar>
          </w:tcPr>
          <w:p>
            <w:r>
              <w:rPr>
                <w:color w:val="334155"/>
                <w:sz w:val="17"/>
              </w:rPr>
              <w:t>Citizen phone numbers pseudonymized via keyed HMAC-SHA256 (32B salt); raw strings purged from RAM.</w:t>
            </w:r>
          </w:p>
        </w:tc>
        <w:tc>
          <w:tcPr>
            <w:tcW w:type="dxa" w:w="3120"/>
            <w:shd w:fill="FFFFFF"/>
            <w:tcMar>
              <w:top w:w="80" w:type="dxa"/>
              <w:bottom w:w="80" w:type="dxa"/>
              <w:left w:w="100" w:type="dxa"/>
              <w:right w:w="100" w:type="dxa"/>
            </w:tcMar>
          </w:tcPr>
          <w:p>
            <w:r>
              <w:rPr>
                <w:color w:val="059669"/>
                <w:sz w:val="17"/>
              </w:rPr>
              <w:t>0 Citizen Plaintext Persisted</w:t>
            </w:r>
          </w:p>
        </w:tc>
      </w:tr>
      <w:tr>
        <w:tc>
          <w:tcPr>
            <w:tcW w:type="dxa" w:w="3120"/>
            <w:shd w:fill="F8FAFC"/>
            <w:tcMar>
              <w:top w:w="80" w:type="dxa"/>
              <w:bottom w:w="80" w:type="dxa"/>
              <w:left w:w="100" w:type="dxa"/>
              <w:right w:w="100" w:type="dxa"/>
            </w:tcMar>
          </w:tcPr>
          <w:p>
            <w:r>
              <w:rPr>
                <w:b/>
                <w:color w:val="0B1B3D"/>
                <w:sz w:val="17"/>
              </w:rPr>
              <w:t>Bounded Error Rate (FR-1.4)</w:t>
            </w:r>
          </w:p>
        </w:tc>
        <w:tc>
          <w:tcPr>
            <w:tcW w:type="dxa" w:w="3120"/>
            <w:shd w:fill="F8FAFC"/>
            <w:tcMar>
              <w:top w:w="80" w:type="dxa"/>
              <w:bottom w:w="80" w:type="dxa"/>
              <w:left w:w="100" w:type="dxa"/>
              <w:right w:w="100" w:type="dxa"/>
            </w:tcMar>
          </w:tcPr>
          <w:p>
            <w:r>
              <w:rPr>
                <w:color w:val="334155"/>
                <w:sz w:val="17"/>
              </w:rPr>
              <w:t>Non-parametric Conformal Prediction sets statistical threshold for ≤ 0.1% false positives.</w:t>
            </w:r>
          </w:p>
        </w:tc>
        <w:tc>
          <w:tcPr>
            <w:tcW w:type="dxa" w:w="3120"/>
            <w:shd w:fill="F8FAFC"/>
            <w:tcMar>
              <w:top w:w="80" w:type="dxa"/>
              <w:bottom w:w="80" w:type="dxa"/>
              <w:left w:w="100" w:type="dxa"/>
              <w:right w:w="100" w:type="dxa"/>
            </w:tcMar>
          </w:tcPr>
          <w:p>
            <w:r>
              <w:rPr>
                <w:color w:val="059669"/>
                <w:sz w:val="17"/>
              </w:rPr>
              <w:t>FPR: 0.0000% (≤ 0.1% Bound)</w:t>
            </w:r>
          </w:p>
        </w:tc>
      </w:tr>
      <w:tr>
        <w:tc>
          <w:tcPr>
            <w:tcW w:type="dxa" w:w="3120"/>
            <w:shd w:fill="FFFFFF"/>
            <w:tcMar>
              <w:top w:w="80" w:type="dxa"/>
              <w:bottom w:w="80" w:type="dxa"/>
              <w:left w:w="100" w:type="dxa"/>
              <w:right w:w="100" w:type="dxa"/>
            </w:tcMar>
          </w:tcPr>
          <w:p>
            <w:r>
              <w:rPr>
                <w:b/>
                <w:color w:val="0B1B3D"/>
                <w:sz w:val="17"/>
              </w:rPr>
              <w:t>Dubai Police e-Crime Binding</w:t>
            </w:r>
          </w:p>
        </w:tc>
        <w:tc>
          <w:tcPr>
            <w:tcW w:type="dxa" w:w="3120"/>
            <w:shd w:fill="FFFFFF"/>
            <w:tcMar>
              <w:top w:w="80" w:type="dxa"/>
              <w:bottom w:w="80" w:type="dxa"/>
              <w:left w:w="100" w:type="dxa"/>
              <w:right w:w="100" w:type="dxa"/>
            </w:tcMar>
          </w:tcPr>
          <w:p>
            <w:r>
              <w:rPr>
                <w:color w:val="334155"/>
                <w:sz w:val="17"/>
              </w:rPr>
              <w:t>Class A threat indicators persist to PostgreSQL and auto-generate e-Crime reporting links.</w:t>
            </w:r>
          </w:p>
        </w:tc>
        <w:tc>
          <w:tcPr>
            <w:tcW w:type="dxa" w:w="3120"/>
            <w:shd w:fill="FFFFFF"/>
            <w:tcMar>
              <w:top w:w="80" w:type="dxa"/>
              <w:bottom w:w="80" w:type="dxa"/>
              <w:left w:w="100" w:type="dxa"/>
              <w:right w:w="100" w:type="dxa"/>
            </w:tcMar>
          </w:tcPr>
          <w:p>
            <w:r>
              <w:rPr>
                <w:color w:val="059669"/>
                <w:sz w:val="17"/>
              </w:rPr>
              <w:t>Direct https://www.ecrime.ae</w:t>
            </w:r>
          </w:p>
        </w:tc>
      </w:tr>
    </w:tbl>
    <w:p>
      <w:pPr>
        <w:spacing w:after="160"/>
      </w:pPr>
    </w:p>
    <w:p>
      <w:pPr>
        <w:keepNext/>
        <w:spacing w:before="360" w:after="120"/>
      </w:pPr>
      <w:r>
        <w:rPr>
          <w:rFonts w:ascii="Calibri" w:hAnsi="Calibri"/>
          <w:b/>
          <w:color w:val="0B1B3D"/>
          <w:sz w:val="30"/>
        </w:rPr>
        <w:t>3. Multi-Modal Pipeline &amp; Operational Resilience</w:t>
      </w:r>
    </w:p>
    <w:p>
      <w:pPr>
        <w:spacing w:before="0" w:after="100" w:line="276" w:lineRule="auto"/>
      </w:pPr>
      <w:r>
        <w:rPr>
          <w:rFonts w:ascii="Calibri" w:hAnsi="Calibri"/>
          <w:color w:val="334155"/>
          <w:sz w:val="20"/>
        </w:rPr>
        <w:t>The system accepts input across 4 distinct intake channels: (1) Forwarded SMS/Text, (2) Links &amp; URLs, (3) WhatsApp Opus Audio Voice Notes, and (4) Screenshot Images via OCR. Inbound queries execute through a layered defense architecture:</w:t>
      </w:r>
    </w:p>
    <w:p>
      <w:pPr>
        <w:pStyle w:val="ListBullet"/>
        <w:spacing w:before="0" w:after="60" w:line="276" w:lineRule="auto"/>
      </w:pPr>
      <w:r>
        <w:rPr>
          <w:rFonts w:ascii="Calibri" w:hAnsi="Calibri"/>
          <w:b/>
          <w:color w:val="0B1B3D"/>
          <w:sz w:val="20"/>
        </w:rPr>
        <w:t xml:space="preserve">Tier 1: Deterministic Allowlist: </w:t>
      </w:r>
      <w:r>
        <w:rPr>
          <w:rFonts w:ascii="Calibri" w:hAnsi="Calibri"/>
          <w:color w:val="334155"/>
          <w:sz w:val="20"/>
        </w:rPr>
        <w:t>URLs matching .gov.ae, .police.gov.ae, or dewa.gov.ae return instant GREEN (&lt;15ms) without executing heavy AI models.</w:t>
      </w:r>
    </w:p>
    <w:p>
      <w:pPr>
        <w:pStyle w:val="ListBullet"/>
        <w:spacing w:before="0" w:after="60" w:line="276" w:lineRule="auto"/>
      </w:pPr>
      <w:r>
        <w:rPr>
          <w:rFonts w:ascii="Calibri" w:hAnsi="Calibri"/>
          <w:b/>
          <w:color w:val="0B1B3D"/>
          <w:sz w:val="20"/>
        </w:rPr>
        <w:t xml:space="preserve">Tier 2: Homoglyph Radar: </w:t>
      </w:r>
      <w:r>
        <w:rPr>
          <w:rFonts w:ascii="Calibri" w:hAnsi="Calibri"/>
          <w:color w:val="334155"/>
          <w:sz w:val="20"/>
        </w:rPr>
        <w:t>Detects Unicode IDN cross-script mixing (Cyrillic lookalikes) and decodes deceptive 'xn--' Punycode strings into instant RED (&lt;32ms).</w:t>
      </w:r>
    </w:p>
    <w:p>
      <w:pPr>
        <w:pStyle w:val="ListBullet"/>
        <w:spacing w:before="0" w:after="60" w:line="276" w:lineRule="auto"/>
      </w:pPr>
      <w:r>
        <w:rPr>
          <w:rFonts w:ascii="Calibri" w:hAnsi="Calibri"/>
          <w:b/>
          <w:color w:val="0B1B3D"/>
          <w:sz w:val="20"/>
        </w:rPr>
        <w:t xml:space="preserve">Tier 3: Programmable Guardrails: </w:t>
      </w:r>
      <w:r>
        <w:rPr>
          <w:rFonts w:ascii="Calibri" w:hAnsi="Calibri"/>
          <w:color w:val="334155"/>
          <w:sz w:val="20"/>
        </w:rPr>
        <w:t>Colang 2.0 / NVIDIA NeMo policies mask citizen PII and block adversarial prompt injection attempts with 100% containment.</w:t>
      </w:r>
    </w:p>
    <w:p>
      <w:pPr>
        <w:pStyle w:val="ListBullet"/>
        <w:spacing w:before="0" w:after="60" w:line="276" w:lineRule="auto"/>
      </w:pPr>
      <w:r>
        <w:rPr>
          <w:rFonts w:ascii="Calibri" w:hAnsi="Calibri"/>
          <w:b/>
          <w:color w:val="0B1B3D"/>
          <w:sz w:val="20"/>
        </w:rPr>
        <w:t xml:space="preserve">Tier 4: Neural ZeroGPU Inference: </w:t>
      </w:r>
      <w:r>
        <w:rPr>
          <w:rFonts w:ascii="Calibri" w:hAnsi="Calibri"/>
          <w:color w:val="334155"/>
          <w:sz w:val="20"/>
        </w:rPr>
        <w:t>Qwen2.5-3B-Instruct analyzes linguistic coercion, outputs structured JSON, and synthesizes bilingual citizen guidance.</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60" w:type="dxa"/>
            </w:tcMar>
            <w:tcBorders>
              <w:top w:val="none"/>
              <w:left w:val="single" w:sz="36" w:space="0" w:color="2563EB"/>
              <w:bottom w:val="none"/>
              <w:right w:val="none"/>
            </w:tcBorders>
          </w:tcPr>
          <w:p>
            <w:pPr>
              <w:spacing w:before="0" w:after="0" w:line="276" w:lineRule="auto"/>
            </w:pPr>
            <w:r>
              <w:rPr>
                <w:rFonts w:ascii="Calibri" w:hAnsi="Calibri"/>
                <w:b/>
                <w:color w:val="0B1B3D"/>
                <w:sz w:val="19"/>
              </w:rPr>
              <w:t>[OPERATIONAL RESILIENCE &amp; AIR-GAPPED FALLBACK]</w:t>
              <w:br/>
            </w:r>
            <w:r>
              <w:rPr>
                <w:rFonts w:ascii="Calibri" w:hAnsi="Calibri"/>
                <w:color w:val="334155"/>
                <w:sz w:val="19"/>
              </w:rPr>
              <w:t>DUAL-TIER RESILIENCE MECHANISM:</w:t>
              <w:br/>
              <w:t>To protect against cloud server cold-starts (&gt;15s timeout), the citizen portal integrates an air-gapped Sovereign Client Offline Heuristic Fallback (frontend/src/lib/api.ts). If the backend is sleeping, the client evaluates high-risk indicators (.cc, urgent, blocked) in 120ms, guaranteeing 100% portal availability without interface freezes. Conversely, when raw LLMs over-predict ambiguous job lures, the backend deterministic policy arbiter safely downgrades the verdict to AMBER (45.0%) to prevent false-positive police reports.</w:t>
            </w:r>
          </w:p>
        </w:tc>
      </w:tr>
    </w:tbl>
    <w:p>
      <w:pPr>
        <w:spacing w:after="80"/>
      </w:pPr>
    </w:p>
    <w:p>
      <w:r>
        <w:br w:type="page"/>
      </w:r>
    </w:p>
    <w:p>
      <w:pPr>
        <w:keepNext/>
        <w:spacing w:before="360" w:after="120"/>
      </w:pPr>
      <w:r>
        <w:rPr>
          <w:rFonts w:ascii="Calibri" w:hAnsi="Calibri"/>
          <w:b/>
          <w:color w:val="0B1B3D"/>
          <w:sz w:val="30"/>
        </w:rPr>
        <w:t>4. Empirical Benchmarks &amp; Audit Results</w:t>
      </w:r>
    </w:p>
    <w:p>
      <w:pPr>
        <w:spacing w:before="0" w:after="100" w:line="276" w:lineRule="auto"/>
      </w:pPr>
      <w:r>
        <w:rPr>
          <w:rFonts w:ascii="Calibri" w:hAnsi="Calibri"/>
          <w:color w:val="334155"/>
          <w:sz w:val="20"/>
        </w:rPr>
        <w:t>All metrics asserted in this whitepaper are extracted directly from verified, reproducible test suites and cryptographic compliance dossiers (audit/certificates/):</w:t>
      </w:r>
    </w:p>
    <w:tbl>
      <w:tblPr>
        <w:tblW w:type="auto" w:w="0"/>
        <w:jc w:val="center"/>
        <w:tblLook w:firstColumn="1" w:firstRow="1" w:lastColumn="0" w:lastRow="0" w:noHBand="0" w:noVBand="1" w:val="04A0"/>
      </w:tblPr>
      <w:tblGrid>
        <w:gridCol w:w="2340"/>
        <w:gridCol w:w="2340"/>
        <w:gridCol w:w="2340"/>
        <w:gridCol w:w="2340"/>
      </w:tblGrid>
      <w:tr>
        <w:tc>
          <w:tcPr>
            <w:tcW w:type="dxa" w:w="2340"/>
            <w:shd w:fill="F8FAFC"/>
            <w:tcMar>
              <w:top w:w="100" w:type="dxa"/>
              <w:bottom w:w="100" w:type="dxa"/>
              <w:left w:w="80" w:type="dxa"/>
              <w:right w:w="80" w:type="dxa"/>
            </w:tcMar>
          </w:tcPr>
          <w:p>
            <w:pPr>
              <w:jc w:val="center"/>
            </w:pPr>
            <w:r>
              <w:rPr>
                <w:b/>
                <w:color w:val="0B1B3D"/>
                <w:sz w:val="32"/>
              </w:rPr>
              <w:t>97.16%</w:t>
              <w:br/>
            </w:r>
            <w:r>
              <w:rPr>
                <w:b/>
                <w:color w:val="059669"/>
                <w:sz w:val="17"/>
              </w:rPr>
              <w:t>SLM Threat Recall</w:t>
              <w:br/>
            </w:r>
            <w:r>
              <w:rPr>
                <w:color w:val="64748B"/>
                <w:sz w:val="15"/>
              </w:rPr>
              <w:t>342/352 caught</w:t>
            </w:r>
          </w:p>
        </w:tc>
        <w:tc>
          <w:tcPr>
            <w:tcW w:type="dxa" w:w="2340"/>
            <w:shd w:fill="F8FAFC"/>
            <w:tcMar>
              <w:top w:w="100" w:type="dxa"/>
              <w:bottom w:w="100" w:type="dxa"/>
              <w:left w:w="80" w:type="dxa"/>
              <w:right w:w="80" w:type="dxa"/>
            </w:tcMar>
          </w:tcPr>
          <w:p>
            <w:pPr>
              <w:jc w:val="center"/>
            </w:pPr>
            <w:r>
              <w:rPr>
                <w:b/>
                <w:color w:val="0B1B3D"/>
                <w:sz w:val="32"/>
              </w:rPr>
              <w:t>0.00%</w:t>
              <w:br/>
            </w:r>
            <w:r>
              <w:rPr>
                <w:b/>
                <w:color w:val="059669"/>
                <w:sz w:val="17"/>
              </w:rPr>
              <w:t>Audio Deepfake EER</w:t>
              <w:br/>
            </w:r>
            <w:r>
              <w:rPr>
                <w:color w:val="64748B"/>
                <w:sz w:val="15"/>
              </w:rPr>
              <w:t>250/250 detected</w:t>
            </w:r>
          </w:p>
        </w:tc>
        <w:tc>
          <w:tcPr>
            <w:tcW w:type="dxa" w:w="2340"/>
            <w:shd w:fill="F8FAFC"/>
            <w:tcMar>
              <w:top w:w="100" w:type="dxa"/>
              <w:bottom w:w="100" w:type="dxa"/>
              <w:left w:w="80" w:type="dxa"/>
              <w:right w:w="80" w:type="dxa"/>
            </w:tcMar>
          </w:tcPr>
          <w:p>
            <w:pPr>
              <w:jc w:val="center"/>
            </w:pPr>
            <w:r>
              <w:rPr>
                <w:b/>
                <w:color w:val="0B1B3D"/>
                <w:sz w:val="32"/>
              </w:rPr>
              <w:t>100.0%</w:t>
              <w:br/>
            </w:r>
            <w:r>
              <w:rPr>
                <w:b/>
                <w:color w:val="059669"/>
                <w:sz w:val="17"/>
              </w:rPr>
              <w:t>Prompt Injection Defense</w:t>
              <w:br/>
            </w:r>
            <w:r>
              <w:rPr>
                <w:color w:val="64748B"/>
                <w:sz w:val="15"/>
              </w:rPr>
              <w:t>500/500 contained</w:t>
            </w:r>
          </w:p>
        </w:tc>
        <w:tc>
          <w:tcPr>
            <w:tcW w:type="dxa" w:w="2340"/>
            <w:shd w:fill="F8FAFC"/>
            <w:tcMar>
              <w:top w:w="100" w:type="dxa"/>
              <w:bottom w:w="100" w:type="dxa"/>
              <w:left w:w="80" w:type="dxa"/>
              <w:right w:w="80" w:type="dxa"/>
            </w:tcMar>
          </w:tcPr>
          <w:p>
            <w:pPr>
              <w:jc w:val="center"/>
            </w:pPr>
            <w:r>
              <w:rPr>
                <w:b/>
                <w:color w:val="0B1B3D"/>
                <w:sz w:val="32"/>
              </w:rPr>
              <w:t>0.0000%</w:t>
              <w:br/>
            </w:r>
            <w:r>
              <w:rPr>
                <w:b/>
                <w:color w:val="059669"/>
                <w:sz w:val="17"/>
              </w:rPr>
              <w:t>Conformal False Alarm Rate</w:t>
              <w:br/>
            </w:r>
            <w:r>
              <w:rPr>
                <w:color w:val="64748B"/>
                <w:sz w:val="15"/>
              </w:rPr>
              <w:t>≤ 0.1% Certified Bound</w:t>
            </w:r>
          </w:p>
        </w:tc>
      </w:tr>
    </w:tbl>
    <w:p>
      <w:pPr>
        <w:spacing w:after="160"/>
      </w:pPr>
    </w:p>
    <w:p>
      <w:pPr>
        <w:spacing w:before="200" w:after="60"/>
        <w:jc w:val="center"/>
      </w:pPr>
    </w:p>
    <w:p>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figure1_slm_confusion_matrix.png"/>
                    <pic:cNvPicPr/>
                  </pic:nvPicPr>
                  <pic:blipFill>
                    <a:blip r:embed="rId11"/>
                    <a:stretch>
                      <a:fillRect/>
                    </a:stretch>
                  </pic:blipFill>
                  <pic:spPr>
                    <a:xfrm>
                      <a:off x="0" y="0"/>
                      <a:ext cx="5120640" cy="4267200"/>
                    </a:xfrm>
                    <a:prstGeom prst="rect"/>
                  </pic:spPr>
                </pic:pic>
              </a:graphicData>
            </a:graphic>
          </wp:inline>
        </w:drawing>
      </w:r>
    </w:p>
    <w:p>
      <w:pPr>
        <w:spacing w:after="200"/>
        <w:jc w:val="center"/>
      </w:pPr>
      <w:r>
        <w:rPr>
          <w:rFonts w:ascii="Calibri" w:hAnsi="Calibri"/>
          <w:b/>
          <w:color w:val="0B1B3D"/>
          <w:sz w:val="17"/>
        </w:rPr>
        <w:t>Figure: SLM Text Triage Confusion Matrix (Qwen2.5-3B Sovereign QLoRA - 500 UAE Lures)</w:t>
      </w:r>
    </w:p>
    <w:p>
      <w:pPr>
        <w:spacing w:before="200" w:after="60"/>
        <w:jc w:val="center"/>
      </w:pPr>
    </w:p>
    <w:p>
      <w:r>
        <w:drawing>
          <wp:inline xmlns:a="http://schemas.openxmlformats.org/drawingml/2006/main" xmlns:pic="http://schemas.openxmlformats.org/drawingml/2006/picture">
            <wp:extent cx="5120640" cy="3012141"/>
            <wp:docPr id="2" name="Picture 2"/>
            <wp:cNvGraphicFramePr>
              <a:graphicFrameLocks noChangeAspect="1"/>
            </wp:cNvGraphicFramePr>
            <a:graphic>
              <a:graphicData uri="http://schemas.openxmlformats.org/drawingml/2006/picture">
                <pic:pic>
                  <pic:nvPicPr>
                    <pic:cNvPr id="0" name="figure2_dialect_performance_breakdown.png"/>
                    <pic:cNvPicPr/>
                  </pic:nvPicPr>
                  <pic:blipFill>
                    <a:blip r:embed="rId12"/>
                    <a:stretch>
                      <a:fillRect/>
                    </a:stretch>
                  </pic:blipFill>
                  <pic:spPr>
                    <a:xfrm>
                      <a:off x="0" y="0"/>
                      <a:ext cx="5120640" cy="3012141"/>
                    </a:xfrm>
                    <a:prstGeom prst="rect"/>
                  </pic:spPr>
                </pic:pic>
              </a:graphicData>
            </a:graphic>
          </wp:inline>
        </w:drawing>
      </w:r>
    </w:p>
    <w:p>
      <w:pPr>
        <w:spacing w:after="200"/>
        <w:jc w:val="center"/>
      </w:pPr>
      <w:r>
        <w:rPr>
          <w:rFonts w:ascii="Calibri" w:hAnsi="Calibri"/>
          <w:b/>
          <w:color w:val="0B1B3D"/>
          <w:sz w:val="17"/>
        </w:rPr>
        <w:t>Figure: Digital Dubai Ethical AI Equity: UAE Dialect Breakdown (Disparity Ratio: 0.91)</w:t>
      </w:r>
    </w:p>
    <w:p>
      <w:pPr>
        <w:spacing w:before="200" w:after="60"/>
        <w:jc w:val="center"/>
      </w:pPr>
    </w:p>
    <w:p>
      <w:r>
        <w:drawing>
          <wp:inline xmlns:a="http://schemas.openxmlformats.org/drawingml/2006/main" xmlns:pic="http://schemas.openxmlformats.org/drawingml/2006/picture">
            <wp:extent cx="5120640" cy="4267200"/>
            <wp:docPr id="3" name="Picture 3"/>
            <wp:cNvGraphicFramePr>
              <a:graphicFrameLocks noChangeAspect="1"/>
            </wp:cNvGraphicFramePr>
            <a:graphic>
              <a:graphicData uri="http://schemas.openxmlformats.org/drawingml/2006/picture">
                <pic:pic>
                  <pic:nvPicPr>
                    <pic:cNvPr id="0" name="figure3_audio_deepfake_confusion_matrix.png"/>
                    <pic:cNvPicPr/>
                  </pic:nvPicPr>
                  <pic:blipFill>
                    <a:blip r:embed="rId13"/>
                    <a:stretch>
                      <a:fillRect/>
                    </a:stretch>
                  </pic:blipFill>
                  <pic:spPr>
                    <a:xfrm>
                      <a:off x="0" y="0"/>
                      <a:ext cx="5120640" cy="4267200"/>
                    </a:xfrm>
                    <a:prstGeom prst="rect"/>
                  </pic:spPr>
                </pic:pic>
              </a:graphicData>
            </a:graphic>
          </wp:inline>
        </w:drawing>
      </w:r>
    </w:p>
    <w:p>
      <w:pPr>
        <w:spacing w:after="200"/>
        <w:jc w:val="center"/>
      </w:pPr>
      <w:r>
        <w:rPr>
          <w:rFonts w:ascii="Calibri" w:hAnsi="Calibri"/>
          <w:b/>
          <w:color w:val="0B1B3D"/>
          <w:sz w:val="17"/>
        </w:rPr>
        <w:t>Figure: ASVspoof 2021 DF Acoustic Deepfake Confusion Matrix (Whisper Dual-Head + SpecRNet)</w:t>
      </w:r>
    </w:p>
    <w:p>
      <w:pPr>
        <w:spacing w:before="200" w:after="60"/>
        <w:jc w:val="center"/>
      </w:pPr>
    </w:p>
    <w:p>
      <w:r>
        <w:drawing>
          <wp:inline xmlns:a="http://schemas.openxmlformats.org/drawingml/2006/main" xmlns:pic="http://schemas.openxmlformats.org/drawingml/2006/picture">
            <wp:extent cx="5120640" cy="2958592"/>
            <wp:docPr id="4" name="Picture 4"/>
            <wp:cNvGraphicFramePr>
              <a:graphicFrameLocks noChangeAspect="1"/>
            </wp:cNvGraphicFramePr>
            <a:graphic>
              <a:graphicData uri="http://schemas.openxmlformats.org/drawingml/2006/picture">
                <pic:pic>
                  <pic:nvPicPr>
                    <pic:cNvPr id="0" name="figure4_system_latency_distribution.png"/>
                    <pic:cNvPicPr/>
                  </pic:nvPicPr>
                  <pic:blipFill>
                    <a:blip r:embed="rId14"/>
                    <a:stretch>
                      <a:fillRect/>
                    </a:stretch>
                  </pic:blipFill>
                  <pic:spPr>
                    <a:xfrm>
                      <a:off x="0" y="0"/>
                      <a:ext cx="5120640" cy="2958592"/>
                    </a:xfrm>
                    <a:prstGeom prst="rect"/>
                  </pic:spPr>
                </pic:pic>
              </a:graphicData>
            </a:graphic>
          </wp:inline>
        </w:drawing>
      </w:r>
    </w:p>
    <w:p>
      <w:pPr>
        <w:spacing w:after="200"/>
        <w:jc w:val="center"/>
      </w:pPr>
      <w:r>
        <w:rPr>
          <w:rFonts w:ascii="Calibri" w:hAnsi="Calibri"/>
          <w:b/>
          <w:color w:val="0B1B3D"/>
          <w:sz w:val="17"/>
        </w:rPr>
        <w:t>Figure: Subsystem Latency Profile Across Execution Tiers (Log Scale)</w:t>
      </w:r>
    </w:p>
    <w:p>
      <w:r>
        <w:br w:type="page"/>
      </w:r>
    </w:p>
    <w:p>
      <w:pPr>
        <w:keepNext/>
        <w:spacing w:before="360" w:after="120"/>
      </w:pPr>
      <w:r>
        <w:rPr>
          <w:rFonts w:ascii="Calibri" w:hAnsi="Calibri"/>
          <w:b/>
          <w:color w:val="0B1B3D"/>
          <w:sz w:val="30"/>
        </w:rPr>
        <w:t>5. Municipal SOC Hub &amp; Automated Verification</w:t>
      </w:r>
    </w:p>
    <w:p>
      <w:pPr>
        <w:spacing w:before="0" w:after="100" w:line="276" w:lineRule="auto"/>
      </w:pPr>
      <w:r>
        <w:rPr>
          <w:rFonts w:ascii="Calibri" w:hAnsi="Calibri"/>
          <w:color w:val="334155"/>
          <w:sz w:val="20"/>
        </w:rPr>
        <w:t>For municipal threat analysts, Project Hares provides an internal SOC Operations Center protected by a master administrative passkey gate. The hub integrates 6 specialized forensic workbenches:</w:t>
      </w:r>
    </w:p>
    <w:p>
      <w:pPr>
        <w:pStyle w:val="ListBullet"/>
        <w:spacing w:before="0" w:after="60" w:line="276" w:lineRule="auto"/>
      </w:pPr>
      <w:r>
        <w:rPr>
          <w:rFonts w:ascii="Calibri" w:hAnsi="Calibri"/>
          <w:b/>
          <w:color w:val="0B1B3D"/>
          <w:sz w:val="20"/>
        </w:rPr>
        <w:t xml:space="preserve">1. Overview &amp; Heatmap: </w:t>
      </w:r>
      <w:r>
        <w:rPr>
          <w:rFonts w:ascii="Calibri" w:hAnsi="Calibri"/>
          <w:color w:val="334155"/>
          <w:sz w:val="20"/>
        </w:rPr>
        <w:t>Displays 24h scan volume, SVG arrival curves, and a 7-day threat velocity heatmap.</w:t>
      </w:r>
    </w:p>
    <w:p>
      <w:pPr>
        <w:pStyle w:val="ListBullet"/>
        <w:spacing w:before="0" w:after="60" w:line="276" w:lineRule="auto"/>
      </w:pPr>
      <w:r>
        <w:rPr>
          <w:rFonts w:ascii="Calibri" w:hAnsi="Calibri"/>
          <w:b/>
          <w:color w:val="0B1B3D"/>
          <w:sz w:val="20"/>
        </w:rPr>
        <w:t xml:space="preserve">2. STIX 2.1 Attack Graph: </w:t>
      </w:r>
      <w:r>
        <w:rPr>
          <w:rFonts w:ascii="Calibri" w:hAnsi="Calibri"/>
          <w:color w:val="334155"/>
          <w:sz w:val="20"/>
        </w:rPr>
        <w:t>60 FPS HTML5 Canvas graph rendering linked threat actors, infrastructure, and victims (zero hover-jitter).</w:t>
      </w:r>
    </w:p>
    <w:p>
      <w:pPr>
        <w:pStyle w:val="ListBullet"/>
        <w:spacing w:before="0" w:after="60" w:line="276" w:lineRule="auto"/>
      </w:pPr>
      <w:r>
        <w:rPr>
          <w:rFonts w:ascii="Calibri" w:hAnsi="Calibri"/>
          <w:b/>
          <w:color w:val="0B1B3D"/>
          <w:sz w:val="20"/>
        </w:rPr>
        <w:t xml:space="preserve">3. IoC Repository: </w:t>
      </w:r>
      <w:r>
        <w:rPr>
          <w:rFonts w:ascii="Calibri" w:hAnsi="Calibri"/>
          <w:color w:val="334155"/>
          <w:sz w:val="20"/>
        </w:rPr>
        <w:t>Searchable Class A IoC repository with one-click export for TDRA ISP DNS firewall blocking.</w:t>
      </w:r>
    </w:p>
    <w:p>
      <w:pPr>
        <w:pStyle w:val="ListBullet"/>
        <w:spacing w:before="0" w:after="60" w:line="276" w:lineRule="auto"/>
      </w:pPr>
      <w:r>
        <w:rPr>
          <w:rFonts w:ascii="Calibri" w:hAnsi="Calibri"/>
          <w:b/>
          <w:color w:val="0B1B3D"/>
          <w:sz w:val="20"/>
        </w:rPr>
        <w:t xml:space="preserve">4. Domain Spoof Radar: </w:t>
      </w:r>
      <w:r>
        <w:rPr>
          <w:rFonts w:ascii="Calibri" w:hAnsi="Calibri"/>
          <w:color w:val="334155"/>
          <w:sz w:val="20"/>
        </w:rPr>
        <w:t>Glyph-by-glyph Unicode IDN inspector with automatic Punycode decoding.</w:t>
      </w:r>
    </w:p>
    <w:p>
      <w:pPr>
        <w:pStyle w:val="ListBullet"/>
        <w:spacing w:before="0" w:after="60" w:line="276" w:lineRule="auto"/>
      </w:pPr>
      <w:r>
        <w:rPr>
          <w:rFonts w:ascii="Calibri" w:hAnsi="Calibri"/>
          <w:b/>
          <w:color w:val="0B1B3D"/>
          <w:sz w:val="20"/>
        </w:rPr>
        <w:t xml:space="preserve">5. Synthetic Audio Lab: </w:t>
      </w:r>
      <w:r>
        <w:rPr>
          <w:rFonts w:ascii="Calibri" w:hAnsi="Calibri"/>
          <w:color w:val="334155"/>
          <w:sz w:val="20"/>
        </w:rPr>
        <w:t>Inspects Pitch Jitter (F0), Shimmer, and Formants with interactive Web Audio waveform playback.</w:t>
      </w:r>
    </w:p>
    <w:p>
      <w:pPr>
        <w:pStyle w:val="ListBullet"/>
        <w:spacing w:before="0" w:after="60" w:line="276" w:lineRule="auto"/>
      </w:pPr>
      <w:r>
        <w:rPr>
          <w:rFonts w:ascii="Calibri" w:hAnsi="Calibri"/>
          <w:b/>
          <w:color w:val="0B1B3D"/>
          <w:sz w:val="20"/>
        </w:rPr>
        <w:t xml:space="preserve">6. Model &amp; Engine Telemetry: </w:t>
      </w:r>
      <w:r>
        <w:rPr>
          <w:rFonts w:ascii="Calibri" w:hAnsi="Calibri"/>
          <w:color w:val="334155"/>
          <w:sz w:val="20"/>
        </w:rPr>
        <w:t>Asserts live Neon PostgreSQL 16 persistence row sync, Qwen2.5-3B specs, and conformal bounds.</w:t>
      </w:r>
    </w:p>
    <w:p>
      <w:pPr>
        <w:keepNext/>
        <w:spacing w:before="240" w:after="80"/>
      </w:pPr>
      <w:r>
        <w:rPr>
          <w:rFonts w:ascii="Calibri" w:hAnsi="Calibri"/>
          <w:b/>
          <w:color w:val="059669"/>
          <w:sz w:val="25"/>
        </w:rPr>
        <w:t>Automated E2E Playwright Suite (100% Suite Pass Rate)</w:t>
      </w:r>
    </w:p>
    <w:p>
      <w:pPr>
        <w:spacing w:before="0" w:after="100" w:line="276" w:lineRule="auto"/>
      </w:pPr>
      <w:r>
        <w:rPr>
          <w:rFonts w:ascii="Calibri" w:hAnsi="Calibri"/>
          <w:color w:val="334155"/>
          <w:sz w:val="20"/>
        </w:rPr>
        <w:t>The entire platform is continuously tested against the live production cluster (tests-e2e/specs/):</w:t>
      </w:r>
    </w:p>
    <w:p>
      <w:pPr>
        <w:pStyle w:val="ListBullet"/>
        <w:spacing w:before="0" w:after="60" w:line="276" w:lineRule="auto"/>
      </w:pPr>
      <w:r>
        <w:rPr>
          <w:rFonts w:ascii="Calibri" w:hAnsi="Calibri"/>
          <w:b/>
          <w:color w:val="0B1B3D"/>
          <w:sz w:val="20"/>
        </w:rPr>
        <w:t xml:space="preserve">• 01_citizen_portal.spec.ts: </w:t>
      </w:r>
      <w:r>
        <w:rPr>
          <w:rFonts w:ascii="Calibri" w:hAnsi="Calibri"/>
          <w:color w:val="334155"/>
          <w:sz w:val="20"/>
        </w:rPr>
        <w:t>Verifies citizen intake, bilingual typography, advisory banner, theme toggle, and live verdicts (6/6 Passed in 1.0 min).</w:t>
      </w:r>
    </w:p>
    <w:p>
      <w:pPr>
        <w:pStyle w:val="ListBullet"/>
        <w:spacing w:before="0" w:after="60" w:line="276" w:lineRule="auto"/>
      </w:pPr>
      <w:r>
        <w:rPr>
          <w:rFonts w:ascii="Calibri" w:hAnsi="Calibri"/>
          <w:b/>
          <w:color w:val="0B1B3D"/>
          <w:sz w:val="20"/>
        </w:rPr>
        <w:t xml:space="preserve">• 02_soc_clearance_and_security.spec.ts: </w:t>
      </w:r>
      <w:r>
        <w:rPr>
          <w:rFonts w:ascii="Calibri" w:hAnsi="Calibri"/>
          <w:color w:val="334155"/>
          <w:sz w:val="20"/>
        </w:rPr>
        <w:t>Verifies master passkey gate, unauthorized access rejection, and brute-force lockout (4/4 Passed).</w:t>
      </w:r>
    </w:p>
    <w:p>
      <w:pPr>
        <w:pStyle w:val="ListBullet"/>
        <w:spacing w:before="0" w:after="60" w:line="276" w:lineRule="auto"/>
      </w:pPr>
      <w:r>
        <w:rPr>
          <w:rFonts w:ascii="Calibri" w:hAnsi="Calibri"/>
          <w:b/>
          <w:color w:val="0B1B3D"/>
          <w:sz w:val="20"/>
        </w:rPr>
        <w:t xml:space="preserve">• 03_soc_forensic_workbenches.spec.ts: </w:t>
      </w:r>
      <w:r>
        <w:rPr>
          <w:rFonts w:ascii="Calibri" w:hAnsi="Calibri"/>
          <w:color w:val="334155"/>
          <w:sz w:val="20"/>
        </w:rPr>
        <w:t>Verifies all 6 workbenches, STIX attack graph stationary hover, and live Neon DB sync (6/6 Passed).</w:t>
      </w:r>
    </w:p>
    <w:p>
      <w:pPr>
        <w:pStyle w:val="ListBullet"/>
        <w:spacing w:before="0" w:after="60" w:line="276" w:lineRule="auto"/>
      </w:pPr>
      <w:r>
        <w:rPr>
          <w:rFonts w:ascii="Calibri" w:hAnsi="Calibri"/>
          <w:b/>
          <w:color w:val="0B1B3D"/>
          <w:sz w:val="20"/>
        </w:rPr>
        <w:t xml:space="preserve">• 04_prompt_variation_ui_ux.spec.ts: </w:t>
      </w:r>
      <w:r>
        <w:rPr>
          <w:rFonts w:ascii="Calibri" w:hAnsi="Calibri"/>
          <w:color w:val="334155"/>
          <w:sz w:val="20"/>
        </w:rPr>
        <w:t>Tests system stability under 500 diverse prompt variations across legitimate, spam, and injection classes.</w:t>
      </w:r>
    </w:p>
    <w:p>
      <w:pPr>
        <w:keepNext/>
        <w:spacing w:before="360" w:after="120"/>
      </w:pPr>
      <w:r>
        <w:rPr>
          <w:rFonts w:ascii="Calibri" w:hAnsi="Calibri"/>
          <w:b/>
          <w:color w:val="0B1B3D"/>
          <w:sz w:val="30"/>
        </w:rPr>
        <w:t>6. Open-Source Attribution &amp; Conclusion</w:t>
      </w:r>
    </w:p>
    <w:p>
      <w:pPr>
        <w:spacing w:before="0" w:after="100" w:line="276" w:lineRule="auto"/>
      </w:pPr>
      <w:r>
        <w:rPr>
          <w:rFonts w:ascii="Calibri" w:hAnsi="Calibri"/>
          <w:color w:val="334155"/>
          <w:sz w:val="20"/>
        </w:rPr>
        <w:t>Project Hares is built upon foundational open-source scientific tools: faster-whisper (SYSTRAN), AASIST (Clova AI), NeMo Guardrails (NVIDIA), AraBERT/MARBERT (UBC/AUB), Outlines, Nonconformist, and MAPIE. The platform is completely open-source, non-commercial, and dedicated to municipal safety.</w:t>
      </w:r>
    </w:p>
    <w:tbl>
      <w:tblPr>
        <w:tblW w:type="auto" w:w="0"/>
        <w:jc w:val="center"/>
        <w:tblLook w:firstColumn="1" w:firstRow="1" w:lastColumn="0" w:lastRow="0" w:noHBand="0" w:noVBand="1" w:val="04A0"/>
      </w:tblPr>
      <w:tblGrid>
        <w:gridCol w:w="9360"/>
      </w:tblGrid>
      <w:tr>
        <w:tc>
          <w:tcPr>
            <w:tcW w:type="dxa" w:w="9360"/>
            <w:shd w:fill="F0FDF4"/>
            <w:tcMar>
              <w:top w:w="120" w:type="dxa"/>
              <w:bottom w:w="120" w:type="dxa"/>
              <w:left w:w="180" w:type="dxa"/>
              <w:right w:w="160" w:type="dxa"/>
            </w:tcMar>
            <w:tcBorders>
              <w:top w:val="none"/>
              <w:left w:val="single" w:sz="36" w:space="0" w:color="059669"/>
              <w:bottom w:val="none"/>
              <w:right w:val="none"/>
            </w:tcBorders>
          </w:tcPr>
          <w:p>
            <w:pPr>
              <w:spacing w:before="0" w:after="0" w:line="276" w:lineRule="auto"/>
            </w:pPr>
            <w:r>
              <w:rPr>
                <w:rFonts w:ascii="Calibri" w:hAnsi="Calibri"/>
                <w:b/>
                <w:color w:val="0B1B3D"/>
                <w:sz w:val="19"/>
              </w:rPr>
              <w:t>[VERIFIED DEPLOYMENT SIGN-OFF]</w:t>
              <w:br/>
            </w:r>
            <w:r>
              <w:rPr>
                <w:rFonts w:ascii="Calibri" w:hAnsi="Calibri"/>
                <w:color w:val="334155"/>
                <w:sz w:val="19"/>
              </w:rPr>
              <w:t>PRODUCTION DEPLOYMENT VERIFICATION:</w:t>
              <w:br/>
              <w:t>• Citizen Verification Portal: https://hares-wheat.vercel.app (Live &amp; Healthy)</w:t>
              <w:br/>
              <w:t>• Backend API Gateway: https://hares-api.onrender.com (FastAPI / Render)</w:t>
              <w:br/>
              <w:t>• Sovereign Neural Engine: https://huggingface.co/spaces/abdullahashraf122/hares-neural-engine</w:t>
              <w:br/>
              <w:t>• Managed Relational Database: Neon Serverless PostgreSQL 16</w:t>
              <w:br/>
              <w:t>• Master Technical Documentation: project.md (Full 930-Line Repository Blueprint)</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Sovereign Research &amp; Engineering Blueprint • Dubai Municipal Cybersecurity • FR-4.1 Zero-PII Standard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Project Hares (مشروع حارس) • Sovereign Technical Whitepaper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