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 xml:space="preserve">Decision Log</w:t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Pavement Condition Prediction — Group Project 9 — v2 update</w:t>
      </w:r>
    </w:p>
    <w:p>
      <w:pPr>
        <w:spacing w:after="200"/>
      </w:pPr>
      <w:r>
        <w:t xml:space="preserve">Dates are approximate, taken from file/commit timestamps. Rows 1-11 carry over from the v1 log (some now closed/superseded by the v2 rebuild, noted in their Status column). Rows 12-18 are new, recorded as part of Ravtej's v2 integration work. Rows in amber under Status are OPEN and unresolved — they should not be treated as settled going into the next review.</w:t>
      </w:r>
    </w:p>
    <w:tbl>
      <w:tblPr>
        <w:tblW w:type="dxa" w:w="141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2700"/>
        <w:gridCol w:w="5700"/>
        <w:gridCol w:w="1400"/>
        <w:gridCol w:w="1876"/>
        <w:gridCol w:w="1900"/>
      </w:tblGrid>
      <w:tr>
        <w:trPr>
          <w:tblHeader/>
        </w:trPr>
        <w:tc>
          <w:tcPr>
            <w:tcW w:type="dxa" w:w="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5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Rationale / context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7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 Aug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Identify roads via STATE_CODE + SHRP_ID + CONSTRUCTION_NO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Original master_with_pci.csv had no identifier columns at all — flagged before Rayyan could start. Resolved by sourcing master_with_pci_2.csv, which restores them.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Rayyan / Ravtej</w:t>
            </w:r>
          </w:p>
        </w:tc>
        <w:tc>
          <w:tcPr>
            <w:tcW w:type="dxa" w:w="18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Closed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 Aug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Two-tier road identity: PHYSICAL_ROAD_ID vs ROAD_ID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PHYSICAL_ROAD_ID (location) never resets; ROAD_ID (pavement life) resets at a rebuild via CONSTRUCTION_NO, plus an age-reset safety net for undocumented rebuilds.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Rayyan</w:t>
            </w:r>
          </w:p>
        </w:tc>
        <w:tc>
          <w:tcPr>
            <w:tcW w:type="dxa" w:w="18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Closed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 Aug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Split by PHYSICAL_ROAD_ID, baked into the dataset as a SPLIT column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Prevents leakage across a rebuild; every downstream stage reads SPLIT rather than re-splitting, so all models are compared on identical data.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Rayyan / Ravtej</w:t>
            </w:r>
          </w:p>
        </w:tc>
        <w:tc>
          <w:tcPr>
            <w:tcW w:type="dxa" w:w="18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Closed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 Aug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Scope: GPS-1/GPS-2 asphalt sections only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Excludes SPS sections and other GPS experiment families as out of project scope.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Ravtej</w:t>
            </w:r>
          </w:p>
        </w:tc>
        <w:tc>
          <w:tcPr>
            <w:tcW w:type="dxa" w:w="18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Closed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 Aug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config.py as single source of truth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Paths, feature lists, target, seed, and split column defined once; every stage imports it instead of hardcoding values.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Ravtej</w:t>
            </w:r>
          </w:p>
        </w:tc>
        <w:tc>
          <w:tcPr>
            <w:tcW w:type="dxa" w:w="18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Closed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 Aug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Shared results schema (results_io.py)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Luke's and Abdullah's stages both append to one results file; idempotent (re-running doesn't duplicate rows). Required columns: model, mae, rmse, r2.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Abdullah / Ravtej</w:t>
            </w:r>
          </w:p>
        </w:tc>
        <w:tc>
          <w:tcPr>
            <w:tcW w:type="dxa" w:w="18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Closed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 Aug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Add a grouped 5-fold cross-validation stage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182-row held-out test set is too small to separate models — bootstrap CIs for XGBoost vs Gradient Boosting crossed zero. CV re-scores all 976 rows; held-out split kept because the allocation doc specified it.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Abdullah</w:t>
            </w:r>
          </w:p>
        </w:tc>
        <w:tc>
          <w:tcPr>
            <w:tcW w:type="dxa" w:w="18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Closed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 Aug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Cap XGBoost n_jobs at 4, not -1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 794 training rows, threading overhead exceeds per-tree work — n_jobs=-1 measured ~18x slower on a many-core machine.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Abdullah</w:t>
            </w:r>
          </w:p>
        </w:tc>
        <w:tc>
          <w:tcPr>
            <w:tcW w:type="dxa" w:w="18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Closed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B8860B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B8860B"/>
                <w:sz w:val="18"/>
                <w:szCs w:val="18"/>
              </w:rPr>
              <w:t xml:space="preserve">13 Aug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B8860B"/>
                <w:sz w:val="18"/>
                <w:szCs w:val="18"/>
              </w:rPr>
              <w:t xml:space="preserve">Report both XGBoost variants (with/without forecast horizon)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B8860B"/>
                <w:sz w:val="18"/>
                <w:szCs w:val="18"/>
              </w:rPr>
              <w:t xml:space="preserve">Including YEARS_TO_NEXT_SURVEY improves CV RMSE (+0.34 to +0.66, CI excludes zero), but config.py marks it as excluded. Argument for including: the horizon is known at prediction time in deployment.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B8860B"/>
                <w:sz w:val="18"/>
                <w:szCs w:val="18"/>
              </w:rPr>
              <w:t xml:space="preserve">Abdullah / Team</w:t>
            </w:r>
          </w:p>
        </w:tc>
        <w:tc>
          <w:tcPr>
            <w:tcW w:type="dxa" w:w="18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B8860B"/>
                <w:sz w:val="18"/>
                <w:szCs w:val="18"/>
              </w:rPr>
              <w:t xml:space="preserve">OPEN — team to decide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B8860B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 Aug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Flag the PCI rut-depth defect rather than proceed silently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pci_algorithm.py applies no rutting deduct when rut depth is missing (~20% of rows), so PCI is effectively computed on two scales. Found independently by Aum's EDA and Abdullah's SHAP output. All current accuracy figures are provisional until fixed.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Aum / Abdullah</w:t>
            </w:r>
          </w:p>
        </w:tc>
        <w:tc>
          <w:tcPr>
            <w:tcW w:type="dxa" w:w="18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Closed — actioned in v2 (see #12)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 Aug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Regenerate results before quoting any numbers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README's results table didn't match the model_performance.csv actually shipped (Random Forest, Gradient Boosting, both XGBoost rows differed; only the deterministic baselines matched exactly) — found during an independent pipeline review.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Ravtej</w:t>
            </w:r>
          </w:p>
        </w:tc>
        <w:tc>
          <w:tcPr>
            <w:tcW w:type="dxa" w:w="18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Closed — superseded by v2 rebuild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 Sep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Separate PCI and rutting into two datasets, two targets, two models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Client review of v0.0.1 confirmed rutting and PCI are two different physical measurements and should not be merged into one score. pci_algorithm.py's rutting-deduct injection was removed (PCI is now distress-only); RUT_NEXT is a new, separate regression target. Directly actions Decision #10.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Rayyan / Team</w:t>
            </w:r>
          </w:p>
        </w:tc>
        <w:tc>
          <w:tcPr>
            <w:tcW w:type="dxa" w:w="18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Closed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v2 — client-directed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 Sep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Drop the empirical benchmark (HDM-4/Austroads) requirement; strengthen Luke's age-trend baseline instead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Charter functional requirement 4 committed the team to comparing against an empirically based deterioration model, and Review 1 slide 4 scheduled this for Weeks 6-7. Client has now confirmed she is happy for Luke's baselines to serve as the comparison instead of a full HDM-4/Austroads reproduction, provided the baseline is strengthened to an exponential/power-law curve (the functional form those models use). Recorded here per the v2 allocation doc's explicit instruction to Ravtej. Client-approved scope reduction — must also be noted in the thesis limitations, not just here.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Luke / Ravtej</w:t>
            </w:r>
          </w:p>
        </w:tc>
        <w:tc>
          <w:tcPr>
            <w:tcW w:type="dxa" w:w="18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Closed — client-approved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v2 — scope change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 Sep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RUT dataset is smaller than the v2 allocation doc estimated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 estimated ~746 rows / 219 physical roads / 274 pavement lives for the RUT dataset; Rayyan's actual delivery is 693 / 207 / 257 (PCI's actual 976/259/327 is close to its ~979/259/329 estimate). Verified independently against master_with_pci_3.csv: the RUT target additionally requires a rut-depth reading at the row's NEXT survey (same drop-rows-with-no-target rule already applied to PCI), which the original estimate didn't fully account for. Not a bug — a more accurate count of a real constraint.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Rayyan / Ravtej</w:t>
            </w:r>
          </w:p>
        </w:tc>
        <w:tc>
          <w:tcPr>
            <w:tcW w:type="dxa" w:w="18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Closed — explained, not a defect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B8860B"/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B8860B"/>
                <w:sz w:val="18"/>
                <w:szCs w:val="18"/>
              </w:rPr>
              <w:t xml:space="preserve">18 Sep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B8860B"/>
                <w:sz w:val="18"/>
                <w:szCs w:val="18"/>
              </w:rPr>
              <w:t xml:space="preserve">pci_algorithm.py has not yet been reconciled between Rayyan's and Luke's copies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B8860B"/>
                <w:sz w:val="18"/>
                <w:szCs w:val="18"/>
              </w:rPr>
              <w:t xml:space="preserve">Rayyan's v2 delivery notes that two uploads of pci_algorithm.py landed on the same filename and overwrote each other, so he worked from a single copy. The client specifically instructed the rutting-removal change be made "with whoever originally wrote the calculator" (Luke). Until Luke confirms his copy matches (or the two are merged), master_with_pci_3.csv and every dataset/model built from it in this delivery should be treated as provisional, not final.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B8860B"/>
                <w:sz w:val="18"/>
                <w:szCs w:val="18"/>
              </w:rPr>
              <w:t xml:space="preserve">Rayyan / Luke</w:t>
            </w:r>
          </w:p>
        </w:tc>
        <w:tc>
          <w:tcPr>
            <w:tcW w:type="dxa" w:w="18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B8860B"/>
                <w:sz w:val="18"/>
                <w:szCs w:val="18"/>
              </w:rPr>
              <w:t xml:space="preserve">OPEN — blocking, needs joint verification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B8860B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B8860B"/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B8860B"/>
                <w:sz w:val="18"/>
                <w:szCs w:val="18"/>
              </w:rPr>
              <w:t xml:space="preserve">18 Sep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B8860B"/>
                <w:sz w:val="18"/>
                <w:szCs w:val="18"/>
              </w:rPr>
              <w:t xml:space="preserve">PCI distribution after rutting removal is not a clean single peak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B8860B"/>
                <w:sz w:val="18"/>
                <w:szCs w:val="18"/>
              </w:rPr>
              <w:t xml:space="preserve">Rayyan's before/after plot confirms the old many-small-humps bimodality (caused by rows with missing rut depth) is gone, as the v2 allocation doc predicted. However, the new distribution is heavily right-skewed with a large ceiling spike at PCI=100, not a single clean interior peak. The specific defect mechanism is genuinely resolved; the "single-peaked" framing in Rayyan's README is optimistic and should be qualified in Aum's EDA re-run and the eventual report, rather than repeated unchanged.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B8860B"/>
                <w:sz w:val="18"/>
                <w:szCs w:val="18"/>
              </w:rPr>
              <w:t xml:space="preserve">Ravtej (found on review) / Aum (to address in EDA)</w:t>
            </w:r>
          </w:p>
        </w:tc>
        <w:tc>
          <w:tcPr>
            <w:tcW w:type="dxa" w:w="18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B8860B"/>
                <w:sz w:val="18"/>
                <w:szCs w:val="18"/>
              </w:rPr>
              <w:t xml:space="preserve">OPEN — needs EDA write-up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B8860B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 Sep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Two targets get separate results files, not one shared file with a target column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v1's shared model_performance.csv was keyed only on model name (Decision #6). With two targets, a "Random Forest" row for PCI and one for RUT would silently collide/overwrite under that key. Fixed structurally: each target now writes to its own file (results/model_performance_pci.csv, results/model_performance_rut.csv) via results_io.py, so the collision is impossible by construction rather than dependent on every stage remembering to also tag rows by target. evaluate.py combines both files into one comparison table for reporting.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Ravtej</w:t>
            </w:r>
          </w:p>
        </w:tc>
        <w:tc>
          <w:tcPr>
            <w:tcW w:type="dxa" w:w="18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Closed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B8860B"/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B8860B"/>
                <w:sz w:val="18"/>
                <w:szCs w:val="18"/>
              </w:rPr>
              <w:t xml:space="preserve">18 Sep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B8860B"/>
                <w:sz w:val="18"/>
                <w:szCs w:val="18"/>
              </w:rPr>
              <w:t xml:space="preserve">requirements-lock.txt introduced but only partially verified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B8860B"/>
                <w:sz w:val="18"/>
                <w:szCs w:val="18"/>
              </w:rPr>
              <w:t xml:space="preserve">New v2 requirement: pin exact dependency versions so the team stops getting different numbers from identical code on different library versions. pandas/numpy/matplotlib/seaborn were pinned from a real install. scikit-learn/xgboost/shap/joblib could not be verified the same way — the integration sandbox this file was built in has no network access to install them — so those four are still at requirements.txt's old minimum-version bounds, flagged [NOT VERIFIED] in the file itself.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B8860B"/>
                <w:sz w:val="18"/>
                <w:szCs w:val="18"/>
              </w:rPr>
              <w:t xml:space="preserve">Ravtej</w:t>
            </w:r>
          </w:p>
        </w:tc>
        <w:tc>
          <w:tcPr>
            <w:tcW w:type="dxa" w:w="18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B8860B"/>
                <w:sz w:val="18"/>
                <w:szCs w:val="18"/>
              </w:rPr>
              <w:t xml:space="preserve">OPEN — needs a teammate to pip freeze their real environment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B8860B"/>
                <w:sz w:val="18"/>
                <w:szCs w:val="18"/>
              </w:rPr>
              <w:t xml:space="preserve">v2</w:t>
            </w:r>
          </w:p>
        </w:tc>
      </w:tr>
    </w:tbl>
    <w:sectPr>
      <w:pgSz w:w="15840" w:h="12240" w:orient="portrait"/>
      <w:pgMar w:top="1008" w:right="863" w:bottom="1008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F24F5A16B8784EBF91344FA1FE94A4" ma:contentTypeVersion="10" ma:contentTypeDescription="Create a new document." ma:contentTypeScope="" ma:versionID="bfd93a75dfcafd35dd4bdf46c2392d9b">
  <xsd:schema xmlns:xsd="http://www.w3.org/2001/XMLSchema" xmlns:xs="http://www.w3.org/2001/XMLSchema" xmlns:p="http://schemas.microsoft.com/office/2006/metadata/properties" xmlns:ns2="84dae5b0-ef8f-4562-8709-868ff906693b" xmlns:ns3="62831edb-3b60-4a5e-82c0-5db6d0087aef" targetNamespace="http://schemas.microsoft.com/office/2006/metadata/properties" ma:root="true" ma:fieldsID="01f769f0368061a5f3d925a4bce87829" ns2:_="" ns3:_="">
    <xsd:import namespace="84dae5b0-ef8f-4562-8709-868ff906693b"/>
    <xsd:import namespace="62831edb-3b60-4a5e-82c0-5db6d0087a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dae5b0-ef8f-4562-8709-868ff90669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b026aac-6b52-4d7e-a64d-f3ee90946f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1edb-3b60-4a5e-82c0-5db6d0087ae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fb9f169-b3fd-4893-af77-9dca5e387413}" ma:internalName="TaxCatchAll" ma:showField="CatchAllData" ma:web="62831edb-3b60-4a5e-82c0-5db6d0087a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4dae5b0-ef8f-4562-8709-868ff906693b">
      <Terms xmlns="http://schemas.microsoft.com/office/infopath/2007/PartnerControls"/>
    </lcf76f155ced4ddcb4097134ff3c332f>
    <TaxCatchAll xmlns="62831edb-3b60-4a5e-82c0-5db6d0087aef" xsi:nil="true"/>
  </documentManagement>
</p:properties>
</file>

<file path=customXml/itemProps1.xml><?xml version="1.0" encoding="utf-8"?>
<ds:datastoreItem xmlns:ds="http://schemas.openxmlformats.org/officeDocument/2006/customXml" ds:itemID="{DC1D089E-FBF3-4E23-8629-6314251B58C1}"/>
</file>

<file path=customXml/itemProps2.xml><?xml version="1.0" encoding="utf-8"?>
<ds:datastoreItem xmlns:ds="http://schemas.openxmlformats.org/officeDocument/2006/customXml" ds:itemID="{9557F545-214B-4442-B5F9-22601E1EEB22}"/>
</file>

<file path=customXml/itemProps3.xml><?xml version="1.0" encoding="utf-8"?>
<ds:datastoreItem xmlns:ds="http://schemas.openxmlformats.org/officeDocument/2006/customXml" ds:itemID="{D77D3885-7BD8-46C2-85A3-FBAF24CD45A1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2026-09-18T00:45:27Z</dcterms:created>
  <dcterms:modified xsi:type="dcterms:W3CDTF">2026-09-18T00:45:27Z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0x0101006DF24F5A16B8784EBF91344FA1FE94A4</vt:lpwstr>
  </property>
</Properties>
</file>