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Brandteknisk vurdering</w:t>
      </w:r>
    </w:p>
    <w:p>
      <w:r>
        <w:rPr>
          <w:b/>
          <w:color w:val="C2410C"/>
        </w:rPr>
        <w:t>UDKAST, udarbejdet af Gennemført. Skal gennemgås, færdiggøres og underskrives af rådgiver.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Projekt</w:t>
            </w:r>
          </w:p>
        </w:tc>
        <w:tc>
          <w:tcPr>
            <w:tcW w:type="dxa" w:w="4320"/>
          </w:tcPr>
          <w:p>
            <w:r>
              <w:t>Blok C, etageboliger (demonstration)</w:t>
            </w:r>
          </w:p>
        </w:tc>
      </w:tr>
      <w:tr>
        <w:tc>
          <w:tcPr>
            <w:tcW w:type="dxa" w:w="4320"/>
          </w:tcPr>
          <w:p>
            <w:r>
              <w:t>Dato</w:t>
            </w:r>
          </w:p>
        </w:tc>
        <w:tc>
          <w:tcPr>
            <w:tcW w:type="dxa" w:w="4320"/>
          </w:tcPr>
          <w:p>
            <w:r>
              <w:t>2026-10-25</w:t>
            </w:r>
          </w:p>
        </w:tc>
      </w:tr>
      <w:tr>
        <w:tc>
          <w:tcPr>
            <w:tcW w:type="dxa" w:w="4320"/>
          </w:tcPr>
          <w:p>
            <w:r>
              <w:t>Sagsnr.</w:t>
            </w:r>
          </w:p>
        </w:tc>
        <w:tc>
          <w:tcPr>
            <w:tcW w:type="dxa" w:w="4320"/>
          </w:tcPr>
          <w:p>
            <w:r>
              <w:t>GV-05</w:t>
            </w:r>
          </w:p>
        </w:tc>
      </w:tr>
      <w:tr>
        <w:tc>
          <w:tcPr>
            <w:tcW w:type="dxa" w:w="4320"/>
          </w:tcPr>
          <w:p>
            <w:r>
              <w:t>Gennemføringer</w:t>
            </w:r>
          </w:p>
        </w:tc>
        <w:tc>
          <w:tcPr>
            <w:tcW w:type="dxa" w:w="4320"/>
          </w:tcPr>
          <w:p>
            <w:r>
              <w:t>G-K-16, G-ST-17, G-1-15 (3 stk.)</w:t>
            </w:r>
          </w:p>
        </w:tc>
      </w:tr>
      <w:tr>
        <w:tc>
          <w:tcPr>
            <w:tcW w:type="dxa" w:w="4320"/>
          </w:tcPr>
          <w:p>
            <w:r>
              <w:t>Gennemføring</w:t>
            </w:r>
          </w:p>
        </w:tc>
        <w:tc>
          <w:tcPr>
            <w:tcW w:type="dxa" w:w="4320"/>
          </w:tcPr>
          <w:p>
            <w:r>
              <w:t>PP Ø75x2,6</w:t>
            </w:r>
          </w:p>
        </w:tc>
      </w:tr>
      <w:tr>
        <w:tc>
          <w:tcPr>
            <w:tcW w:type="dxa" w:w="4320"/>
          </w:tcPr>
          <w:p>
            <w:r>
              <w:t>Konstruktion</w:t>
            </w:r>
          </w:p>
        </w:tc>
        <w:tc>
          <w:tcPr>
            <w:tcW w:type="dxa" w:w="4320"/>
          </w:tcPr>
          <w:p>
            <w:r>
              <w:t>Huldæk 220 over Kælder: Massivt dæk 220 mm</w:t>
            </w:r>
          </w:p>
        </w:tc>
      </w:tr>
      <w:tr>
        <w:tc>
          <w:tcPr>
            <w:tcW w:type="dxa" w:w="4320"/>
          </w:tcPr>
          <w:p>
            <w:r>
              <w:t>Krav</w:t>
            </w:r>
          </w:p>
        </w:tc>
        <w:tc>
          <w:tcPr>
            <w:tcW w:type="dxa" w:w="4320"/>
          </w:tcPr>
          <w:p>
            <w:r>
              <w:t>REI 60 (tætning EI 60)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Afløb</w:t>
            </w:r>
          </w:p>
        </w:tc>
      </w:tr>
    </w:tbl>
    <w:p>
      <w:pPr>
        <w:pStyle w:val="Heading1"/>
      </w:pPr>
      <w:r>
        <w:t>1. Formål</w:t>
      </w:r>
    </w:p>
    <w:p>
      <w:r>
        <w:t>At vurdere, om gennemføringen kan udføres, så bygningsdelens brandmodstand (REI 60) genetableres, selv om den projekterede udførelse ikke svarer præcist til en testet og klassificeret opbygning.</w:t>
      </w:r>
    </w:p>
    <w:p>
      <w:pPr>
        <w:pStyle w:val="Heading1"/>
      </w:pPr>
      <w:r>
        <w:t>2. Grundlag</w:t>
      </w:r>
    </w:p>
    <w:p>
      <w:pPr>
        <w:pStyle w:val="ListBullet"/>
      </w:pPr>
      <w:r>
        <w:t>ETA-21/0110, Mulcol Multimastic C System (ETA-Danmark A/S, udstedt 2021-01-01), Annex A</w:t>
      </w:r>
    </w:p>
    <w:p>
      <w:pPr>
        <w:pStyle w:val="ListBullet"/>
      </w:pPr>
      <w:r>
        <w:t>EAD 350454-00-1104 (gennemføringstætninger); EN 1366-3 (prøvning); EN 13501-2 (klassifikation)</w:t>
      </w:r>
    </w:p>
    <w:p>
      <w:pPr>
        <w:pStyle w:val="ListBullet"/>
      </w:pPr>
      <w:r>
        <w:t>Bygningsreglementet (BR18) med vejledning om brandforhold</w:t>
      </w:r>
    </w:p>
    <w:p>
      <w:pPr>
        <w:pStyle w:val="ListBullet"/>
      </w:pPr>
      <w:r>
        <w:t>Projektets IFC-model (konstruktion, installation, isolering, system og udsparing)</w:t>
      </w:r>
    </w:p>
    <w:p>
      <w:pPr>
        <w:pStyle w:val="Heading1"/>
      </w:pPr>
      <w:r>
        <w:t>3. Projekteret udførelse sammenholdt med testet opbygning</w:t>
      </w:r>
    </w:p>
    <w:p>
      <w:r>
        <w:t>Der findes ingen testet opbygning for denne installation i denne konstruktionstype i ETA-21/0110.</w:t>
      </w:r>
    </w:p>
    <w:p>
      <w:pPr>
        <w:pStyle w:val="Heading1"/>
      </w:pPr>
      <w:r>
        <w:t>4. Afvigelser</w:t>
      </w:r>
    </w:p>
    <w:p>
      <w:pPr>
        <w:pStyle w:val="ListBullet"/>
      </w:pPr>
      <w:r>
        <w:t>Installationstypen er ikke omfattet af ETA'ens testede opbygninger i denne konstruktion.</w:t>
      </w:r>
    </w:p>
    <w:p>
      <w:pPr>
        <w:pStyle w:val="Heading1"/>
      </w:pPr>
      <w:r>
        <w:t>6. Rådgiverens vurdering</w:t>
      </w:r>
    </w:p>
    <w:p>
      <w:r>
        <w:rPr>
          <w:i/>
        </w:rPr>
        <w:t>[Udfyldes af rådgiver.] Spørgsmål vurderingen skal besvare:</w:t>
      </w:r>
    </w:p>
    <w:p>
      <w:pPr>
        <w:pStyle w:val="ListNumber"/>
      </w:pPr>
      <w:r>
        <w:t>Er den projekterede dimension inden for det, som de testede dimensioner og tætningens virkemåde kan dække? Findes en testet løsning med en anden tætningstype (fx brandmanchet) for denne dimension?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7. Forudsætninger og begrænsninger</w:t>
      </w:r>
    </w:p>
    <w:p>
      <w:pPr>
        <w:pStyle w:val="ListBullet"/>
      </w:pPr>
      <w:r>
        <w:t>Huldæk: ETA'en forudsætter dæk af beton/letbeton ≥ 150 mm og ≥ 650 kg/m³. Kontrollér placering i forhold til huldækkets kanaler og ribber.</w:t>
      </w:r>
    </w:p>
    <w:p>
      <w:pPr>
        <w:pStyle w:val="ListBullet"/>
      </w:pPr>
      <w:r>
        <w:t>Installationer i dæk understøttes 250 mm og 400 mm fra dækkets overside (ETA afsnit 2, pkt. 6).</w:t>
      </w:r>
    </w:p>
    <w:p>
      <w:pPr>
        <w:pStyle w:val="ListBullet"/>
      </w:pPr>
      <w:r>
        <w:t>Vurderingen gælder kun de nævnte gennemføringer med de angivne materialer og dimensioner.</w:t>
      </w:r>
    </w:p>
    <w:p>
      <w:pPr>
        <w:pStyle w:val="ListBullet"/>
      </w:pPr>
      <w:r>
        <w:t>Udførelse efter producentens monteringsvejledning og dokumentation med foto pr. gennemføring.</w:t>
      </w:r>
    </w:p>
    <w:p>
      <w:pPr>
        <w:pStyle w:val="ListBullet"/>
      </w:pPr>
      <w:r>
        <w:t>Beslutningsstøtte, ikke godkendelse. Hver løsning kontrolleres mod kildedokumentet (ETA-21/0110) og producentens monteringsvejledning. En brandteknisk vurdering udarbejdes og underskrives af en person.</w:t>
      </w:r>
    </w:p>
    <w:p>
      <w:pPr>
        <w:pStyle w:val="Heading1"/>
      </w:pPr>
      <w:r>
        <w:t>8. Underskrift</w:t>
      </w:r>
    </w:p>
    <w:p>
      <w:r>
        <w:t>Udarbejdet af: ______________________   Dato: __________</w:t>
        <w:br/>
        <w:br/>
        <w:t>Kontrolleret af: ____________________   Dato: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