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B5FF2" w14:textId="57EBBF93" w:rsidR="008F69AB" w:rsidRDefault="0098758D" w:rsidP="00666F0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8758D">
        <w:rPr>
          <w:rFonts w:ascii="Times New Roman" w:hAnsi="Times New Roman" w:cs="Times New Roman"/>
          <w:b/>
          <w:bCs/>
          <w:sz w:val="44"/>
          <w:szCs w:val="44"/>
        </w:rPr>
        <w:t>"</w:t>
      </w:r>
      <w:proofErr w:type="spellStart"/>
      <w:r w:rsidRPr="0098758D">
        <w:rPr>
          <w:rFonts w:ascii="Times New Roman" w:hAnsi="Times New Roman" w:cs="Times New Roman"/>
          <w:b/>
          <w:bCs/>
          <w:sz w:val="44"/>
          <w:szCs w:val="44"/>
        </w:rPr>
        <w:t>EuroEduTrends</w:t>
      </w:r>
      <w:proofErr w:type="spellEnd"/>
      <w:r w:rsidRPr="0098758D">
        <w:rPr>
          <w:rFonts w:ascii="Times New Roman" w:hAnsi="Times New Roman" w:cs="Times New Roman"/>
          <w:b/>
          <w:bCs/>
          <w:sz w:val="44"/>
          <w:szCs w:val="44"/>
        </w:rPr>
        <w:t xml:space="preserve">: </w:t>
      </w:r>
      <w:proofErr w:type="spellStart"/>
      <w:r w:rsidRPr="0098758D">
        <w:rPr>
          <w:rFonts w:ascii="Times New Roman" w:hAnsi="Times New Roman" w:cs="Times New Roman"/>
          <w:b/>
          <w:bCs/>
          <w:sz w:val="44"/>
          <w:szCs w:val="44"/>
        </w:rPr>
        <w:t>Analyzing</w:t>
      </w:r>
      <w:proofErr w:type="spellEnd"/>
      <w:r w:rsidRPr="0098758D">
        <w:rPr>
          <w:rFonts w:ascii="Times New Roman" w:hAnsi="Times New Roman" w:cs="Times New Roman"/>
          <w:b/>
          <w:bCs/>
          <w:sz w:val="44"/>
          <w:szCs w:val="44"/>
        </w:rPr>
        <w:t xml:space="preserve"> Education</w:t>
      </w:r>
      <w:r>
        <w:rPr>
          <w:rFonts w:ascii="Times New Roman" w:hAnsi="Times New Roman" w:cs="Times New Roman"/>
          <w:b/>
          <w:bCs/>
          <w:sz w:val="44"/>
          <w:szCs w:val="44"/>
        </w:rPr>
        <w:t>al</w:t>
      </w:r>
      <w:r w:rsidRPr="0098758D">
        <w:rPr>
          <w:rFonts w:ascii="Times New Roman" w:hAnsi="Times New Roman" w:cs="Times New Roman"/>
          <w:b/>
          <w:bCs/>
          <w:sz w:val="44"/>
          <w:szCs w:val="44"/>
        </w:rPr>
        <w:t xml:space="preserve"> Indicators in European Nations</w:t>
      </w:r>
    </w:p>
    <w:p w14:paraId="7E632FB5" w14:textId="77777777" w:rsidR="00666F04" w:rsidRDefault="00666F04" w:rsidP="00666F0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D6F3F2D" w14:textId="2FD7A1B3" w:rsidR="00666F04" w:rsidRDefault="00666F04" w:rsidP="00666F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Abstract</w:t>
      </w:r>
    </w:p>
    <w:p w14:paraId="3C228531" w14:textId="1737F459" w:rsidR="0098758D" w:rsidRDefault="0098758D" w:rsidP="00666F04">
      <w:pPr>
        <w:rPr>
          <w:rFonts w:ascii="Times New Roman" w:hAnsi="Times New Roman" w:cs="Times New Roman"/>
          <w:color w:val="1F1F1F"/>
          <w:sz w:val="26"/>
          <w:szCs w:val="26"/>
        </w:rPr>
      </w:pPr>
      <w:r w:rsidRPr="0098758D">
        <w:rPr>
          <w:rFonts w:ascii="Times New Roman" w:hAnsi="Times New Roman" w:cs="Times New Roman"/>
          <w:color w:val="1F1F1F"/>
          <w:sz w:val="26"/>
          <w:szCs w:val="26"/>
        </w:rPr>
        <w:t>This Power BI data analysis project delves into education indicators sourced from the World Bank Open Data, employing a methodology cantered around data cleaning, transformation, and visualization. The report focuses on key aspects such as government expenditure on education, enrolment rates, literacy rates, educational attainment, teacher-to-student ratios, gender disparities, public spending per student, and graduation rates.</w:t>
      </w:r>
      <w:r w:rsidRPr="0098758D">
        <w:rPr>
          <w:rFonts w:ascii="Segoe UI" w:hAnsi="Segoe UI" w:cs="Segoe UI"/>
          <w:color w:val="374151"/>
        </w:rPr>
        <w:t xml:space="preserve"> </w:t>
      </w:r>
      <w:r w:rsidRPr="0098758D">
        <w:rPr>
          <w:rFonts w:ascii="Times New Roman" w:hAnsi="Times New Roman" w:cs="Times New Roman"/>
          <w:color w:val="1F1F1F"/>
          <w:sz w:val="26"/>
          <w:szCs w:val="26"/>
        </w:rPr>
        <w:t>The implementation of Data Analysis Expressions (DAX) is integral to this project, enhancing analytical capabilities. DAX plays a crucial role in summarizing and aggregating data, facilitating dynamic analyses for a richer understanding of education trends</w:t>
      </w:r>
      <w:r>
        <w:rPr>
          <w:rFonts w:ascii="Times New Roman" w:hAnsi="Times New Roman" w:cs="Times New Roman"/>
          <w:color w:val="1F1F1F"/>
          <w:sz w:val="26"/>
          <w:szCs w:val="26"/>
        </w:rPr>
        <w:t xml:space="preserve"> across Europe.</w:t>
      </w:r>
    </w:p>
    <w:p w14:paraId="7097095D" w14:textId="026D74B2" w:rsidR="00AB3F7C" w:rsidRDefault="00AB3F7C" w:rsidP="00666F0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B3F7C">
        <w:rPr>
          <w:rFonts w:ascii="Times New Roman" w:hAnsi="Times New Roman" w:cs="Times New Roman"/>
          <w:b/>
          <w:bCs/>
          <w:sz w:val="36"/>
          <w:szCs w:val="36"/>
        </w:rPr>
        <w:t>Dataset</w:t>
      </w:r>
    </w:p>
    <w:p w14:paraId="1E8A058C" w14:textId="4BF46DCC" w:rsidR="00AB3F7C" w:rsidRDefault="0098758D" w:rsidP="00666F04">
      <w:pPr>
        <w:rPr>
          <w:rFonts w:ascii="Times New Roman" w:hAnsi="Times New Roman" w:cs="Times New Roman"/>
          <w:sz w:val="26"/>
          <w:szCs w:val="26"/>
        </w:rPr>
      </w:pPr>
      <w:r w:rsidRPr="0098758D">
        <w:rPr>
          <w:rFonts w:ascii="Times New Roman" w:hAnsi="Times New Roman" w:cs="Times New Roman"/>
          <w:sz w:val="26"/>
          <w:szCs w:val="26"/>
        </w:rPr>
        <w:t xml:space="preserve">The dataset is derived from the World Bank Open Data, housing education indicators. It encapsulates information on government spending, enrolment rates, literacy rates, educational attainment, </w:t>
      </w:r>
      <w:r>
        <w:rPr>
          <w:rFonts w:ascii="Times New Roman" w:hAnsi="Times New Roman" w:cs="Times New Roman"/>
          <w:sz w:val="26"/>
          <w:szCs w:val="26"/>
        </w:rPr>
        <w:t>global achievements</w:t>
      </w:r>
      <w:r w:rsidRPr="0098758D">
        <w:rPr>
          <w:rFonts w:ascii="Times New Roman" w:hAnsi="Times New Roman" w:cs="Times New Roman"/>
          <w:sz w:val="26"/>
          <w:szCs w:val="26"/>
        </w:rPr>
        <w:t xml:space="preserve">, gender disparities, and graduation rates, providing a comprehensive </w:t>
      </w:r>
      <w:r>
        <w:rPr>
          <w:rFonts w:ascii="Times New Roman" w:hAnsi="Times New Roman" w:cs="Times New Roman"/>
          <w:sz w:val="26"/>
          <w:szCs w:val="26"/>
        </w:rPr>
        <w:t>European</w:t>
      </w:r>
      <w:r w:rsidRPr="0098758D">
        <w:rPr>
          <w:rFonts w:ascii="Times New Roman" w:hAnsi="Times New Roman" w:cs="Times New Roman"/>
          <w:sz w:val="26"/>
          <w:szCs w:val="26"/>
        </w:rPr>
        <w:t xml:space="preserve"> view of education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br/>
      </w:r>
    </w:p>
    <w:p w14:paraId="573004F5" w14:textId="31CA0AD2" w:rsidR="0098758D" w:rsidRPr="00AB3F7C" w:rsidRDefault="008B1790" w:rsidP="00666F04">
      <w:pPr>
        <w:rPr>
          <w:rFonts w:ascii="Times New Roman" w:hAnsi="Times New Roman" w:cs="Times New Roman"/>
          <w:sz w:val="26"/>
          <w:szCs w:val="26"/>
          <w:u w:val="single"/>
        </w:rPr>
      </w:pPr>
      <w:r w:rsidRPr="008B1790">
        <w:rPr>
          <w:rFonts w:ascii="Times New Roman" w:hAnsi="Times New Roman" w:cs="Times New Roman"/>
          <w:sz w:val="26"/>
          <w:szCs w:val="26"/>
          <w:u w:val="single"/>
        </w:rPr>
        <w:t>https://databank.worldbank.org/source/education-statistics-%5E-all-indicators</w:t>
      </w:r>
    </w:p>
    <w:p w14:paraId="024EBD8D" w14:textId="77777777" w:rsidR="008B1790" w:rsidRPr="008B1790" w:rsidRDefault="008B1790" w:rsidP="008B179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B1790">
        <w:rPr>
          <w:rFonts w:ascii="Times New Roman" w:hAnsi="Times New Roman" w:cs="Times New Roman"/>
          <w:b/>
          <w:bCs/>
          <w:sz w:val="32"/>
          <w:szCs w:val="32"/>
        </w:rPr>
        <w:t>Methodology:</w:t>
      </w:r>
    </w:p>
    <w:p w14:paraId="21CA809F" w14:textId="77777777" w:rsidR="008B1790" w:rsidRPr="008B1790" w:rsidRDefault="008B1790" w:rsidP="008B1790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B1790">
        <w:rPr>
          <w:rFonts w:ascii="Times New Roman" w:hAnsi="Times New Roman" w:cs="Times New Roman"/>
          <w:b/>
          <w:bCs/>
          <w:sz w:val="32"/>
          <w:szCs w:val="32"/>
        </w:rPr>
        <w:t>Data Collection:</w:t>
      </w:r>
    </w:p>
    <w:p w14:paraId="70B528A8" w14:textId="77777777" w:rsidR="008B1790" w:rsidRPr="008B1790" w:rsidRDefault="008B1790" w:rsidP="008B1790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B1790">
        <w:rPr>
          <w:rFonts w:ascii="Times New Roman" w:hAnsi="Times New Roman" w:cs="Times New Roman"/>
          <w:sz w:val="26"/>
          <w:szCs w:val="26"/>
        </w:rPr>
        <w:t>Extracted education indicators data from the World Bank Open Data.</w:t>
      </w:r>
    </w:p>
    <w:p w14:paraId="70E59E27" w14:textId="77777777" w:rsidR="008B1790" w:rsidRPr="008B1790" w:rsidRDefault="008B1790" w:rsidP="008B1790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B1790">
        <w:rPr>
          <w:rFonts w:ascii="Times New Roman" w:hAnsi="Times New Roman" w:cs="Times New Roman"/>
          <w:b/>
          <w:bCs/>
          <w:sz w:val="32"/>
          <w:szCs w:val="32"/>
        </w:rPr>
        <w:t>Data Cleaning and Transformation:</w:t>
      </w:r>
    </w:p>
    <w:p w14:paraId="33F13861" w14:textId="77777777" w:rsidR="008B1790" w:rsidRPr="008B1790" w:rsidRDefault="008B1790" w:rsidP="008B1790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B1790">
        <w:rPr>
          <w:rFonts w:ascii="Times New Roman" w:hAnsi="Times New Roman" w:cs="Times New Roman"/>
          <w:sz w:val="26"/>
          <w:szCs w:val="26"/>
        </w:rPr>
        <w:t>Addressed missing values, outliers, and inconsistencies.</w:t>
      </w:r>
    </w:p>
    <w:p w14:paraId="480C9E9B" w14:textId="77777777" w:rsidR="008B1790" w:rsidRPr="008B1790" w:rsidRDefault="008B1790" w:rsidP="008B1790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B1790">
        <w:rPr>
          <w:rFonts w:ascii="Times New Roman" w:hAnsi="Times New Roman" w:cs="Times New Roman"/>
          <w:sz w:val="26"/>
          <w:szCs w:val="26"/>
        </w:rPr>
        <w:t>Applied transformations to format columns and ensure data alignment.</w:t>
      </w:r>
    </w:p>
    <w:p w14:paraId="272D7115" w14:textId="77777777" w:rsidR="008B1790" w:rsidRPr="008B1790" w:rsidRDefault="008B1790" w:rsidP="008B1790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B1790">
        <w:rPr>
          <w:rFonts w:ascii="Times New Roman" w:hAnsi="Times New Roman" w:cs="Times New Roman"/>
          <w:b/>
          <w:bCs/>
          <w:sz w:val="32"/>
          <w:szCs w:val="32"/>
        </w:rPr>
        <w:t>Merging Data Tables:</w:t>
      </w:r>
    </w:p>
    <w:p w14:paraId="15580521" w14:textId="77777777" w:rsidR="008B1790" w:rsidRPr="008B1790" w:rsidRDefault="008B1790" w:rsidP="008B1790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B1790">
        <w:rPr>
          <w:rFonts w:ascii="Times New Roman" w:hAnsi="Times New Roman" w:cs="Times New Roman"/>
          <w:sz w:val="26"/>
          <w:szCs w:val="26"/>
        </w:rPr>
        <w:t>Utilized left outer joins for merging tables, replacing traditional relationships.</w:t>
      </w:r>
    </w:p>
    <w:p w14:paraId="6CC975F0" w14:textId="77777777" w:rsidR="008B1790" w:rsidRPr="008B1790" w:rsidRDefault="008B1790" w:rsidP="008B1790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B1790">
        <w:rPr>
          <w:rFonts w:ascii="Times New Roman" w:hAnsi="Times New Roman" w:cs="Times New Roman"/>
          <w:sz w:val="26"/>
          <w:szCs w:val="26"/>
        </w:rPr>
        <w:t>Ensured comprehensive inclusion of data from dimension tables into the fact table.</w:t>
      </w:r>
    </w:p>
    <w:p w14:paraId="07BE65D0" w14:textId="77777777" w:rsidR="008B1790" w:rsidRDefault="008B1790" w:rsidP="008B1790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B1790">
        <w:rPr>
          <w:rFonts w:ascii="Times New Roman" w:hAnsi="Times New Roman" w:cs="Times New Roman"/>
          <w:b/>
          <w:bCs/>
          <w:sz w:val="32"/>
          <w:szCs w:val="32"/>
        </w:rPr>
        <w:lastRenderedPageBreak/>
        <w:t>DAX Implementation:</w:t>
      </w:r>
    </w:p>
    <w:p w14:paraId="1BB923B0" w14:textId="496B0A02" w:rsidR="008B1790" w:rsidRPr="008B1790" w:rsidRDefault="008B1790" w:rsidP="008B1790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B1790">
        <w:rPr>
          <w:rFonts w:ascii="Times New Roman" w:hAnsi="Times New Roman" w:cs="Times New Roman"/>
          <w:sz w:val="26"/>
          <w:szCs w:val="26"/>
        </w:rPr>
        <w:t>Calculate the percentage of female enrolment in primary, secondary, and tertiary education.</w:t>
      </w:r>
    </w:p>
    <w:p w14:paraId="2590393C" w14:textId="523C31E5" w:rsidR="008B1790" w:rsidRPr="008B1790" w:rsidRDefault="008B1790" w:rsidP="008B1790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B1790">
        <w:rPr>
          <w:rFonts w:ascii="Times New Roman" w:hAnsi="Times New Roman" w:cs="Times New Roman"/>
          <w:sz w:val="26"/>
          <w:szCs w:val="26"/>
        </w:rPr>
        <w:t>Compute the average literacy rate across different age groups.</w:t>
      </w:r>
    </w:p>
    <w:p w14:paraId="68AE4065" w14:textId="0AB4C900" w:rsidR="008B1790" w:rsidRPr="008B1790" w:rsidRDefault="008B1790" w:rsidP="008B1790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B1790">
        <w:rPr>
          <w:rFonts w:ascii="Times New Roman" w:hAnsi="Times New Roman" w:cs="Times New Roman"/>
          <w:sz w:val="26"/>
          <w:szCs w:val="26"/>
        </w:rPr>
        <w:t>Determine the education gap by subtracting the youth literacy rate from the adult literacy rate.</w:t>
      </w:r>
    </w:p>
    <w:p w14:paraId="65C2952B" w14:textId="63D38882" w:rsidR="008B1790" w:rsidRPr="008B1790" w:rsidRDefault="008B1790" w:rsidP="008B1790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B1790">
        <w:rPr>
          <w:rFonts w:ascii="Times New Roman" w:hAnsi="Times New Roman" w:cs="Times New Roman"/>
          <w:sz w:val="26"/>
          <w:szCs w:val="26"/>
        </w:rPr>
        <w:t>Analyse the trend in graduation rates over time.</w:t>
      </w:r>
    </w:p>
    <w:p w14:paraId="71B86D28" w14:textId="77777777" w:rsidR="008B1790" w:rsidRPr="008B1790" w:rsidRDefault="008B1790" w:rsidP="008B1790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B1790">
        <w:rPr>
          <w:rFonts w:ascii="Times New Roman" w:hAnsi="Times New Roman" w:cs="Times New Roman"/>
          <w:b/>
          <w:bCs/>
          <w:sz w:val="32"/>
          <w:szCs w:val="32"/>
        </w:rPr>
        <w:t>Data Visualization:</w:t>
      </w:r>
    </w:p>
    <w:p w14:paraId="4B40811B" w14:textId="77777777" w:rsidR="008B1790" w:rsidRPr="008B1790" w:rsidRDefault="008B1790" w:rsidP="008B1790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B1790">
        <w:rPr>
          <w:rFonts w:ascii="Times New Roman" w:hAnsi="Times New Roman" w:cs="Times New Roman"/>
          <w:sz w:val="26"/>
          <w:szCs w:val="26"/>
        </w:rPr>
        <w:t>Developed visualizations using merged data, employing various chart types.</w:t>
      </w:r>
    </w:p>
    <w:p w14:paraId="04A5C01B" w14:textId="06E33EB1" w:rsidR="008B1790" w:rsidRPr="008B1790" w:rsidRDefault="008B1790" w:rsidP="008B1790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B1790">
        <w:rPr>
          <w:rFonts w:ascii="Times New Roman" w:hAnsi="Times New Roman" w:cs="Times New Roman"/>
          <w:sz w:val="26"/>
          <w:szCs w:val="26"/>
        </w:rPr>
        <w:t>Visualized insights with line charts, bar charts,</w:t>
      </w:r>
      <w:r>
        <w:rPr>
          <w:rFonts w:ascii="Times New Roman" w:hAnsi="Times New Roman" w:cs="Times New Roman"/>
          <w:sz w:val="26"/>
          <w:szCs w:val="26"/>
        </w:rPr>
        <w:t xml:space="preserve"> donut chart,</w:t>
      </w:r>
      <w:r w:rsidRPr="008B1790">
        <w:rPr>
          <w:rFonts w:ascii="Times New Roman" w:hAnsi="Times New Roman" w:cs="Times New Roman"/>
          <w:sz w:val="26"/>
          <w:szCs w:val="26"/>
        </w:rPr>
        <w:t xml:space="preserve"> maps, and pie charts.</w:t>
      </w:r>
    </w:p>
    <w:p w14:paraId="73AF95A6" w14:textId="77777777" w:rsidR="00666F04" w:rsidRPr="00666F04" w:rsidRDefault="00666F04" w:rsidP="00666F0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DE94683" w14:textId="77777777" w:rsidR="00666F04" w:rsidRPr="00666F04" w:rsidRDefault="00666F04" w:rsidP="00666F04">
      <w:pPr>
        <w:rPr>
          <w:rFonts w:ascii="Times New Roman" w:hAnsi="Times New Roman" w:cs="Times New Roman"/>
          <w:sz w:val="24"/>
          <w:szCs w:val="24"/>
        </w:rPr>
      </w:pPr>
    </w:p>
    <w:sectPr w:rsidR="00666F04" w:rsidRPr="00666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F1B04"/>
    <w:multiLevelType w:val="multilevel"/>
    <w:tmpl w:val="43B04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FA1ABB"/>
    <w:multiLevelType w:val="multilevel"/>
    <w:tmpl w:val="68BAF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E614D5"/>
    <w:multiLevelType w:val="multilevel"/>
    <w:tmpl w:val="D1146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4A0492"/>
    <w:multiLevelType w:val="multilevel"/>
    <w:tmpl w:val="0F2C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1082795">
    <w:abstractNumId w:val="1"/>
  </w:num>
  <w:num w:numId="2" w16cid:durableId="776679157">
    <w:abstractNumId w:val="2"/>
  </w:num>
  <w:num w:numId="3" w16cid:durableId="405617984">
    <w:abstractNumId w:val="0"/>
  </w:num>
  <w:num w:numId="4" w16cid:durableId="6410797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F04"/>
    <w:rsid w:val="000C66E7"/>
    <w:rsid w:val="00480667"/>
    <w:rsid w:val="005A0D71"/>
    <w:rsid w:val="00666F04"/>
    <w:rsid w:val="008B1790"/>
    <w:rsid w:val="008F69AB"/>
    <w:rsid w:val="0098758D"/>
    <w:rsid w:val="00AB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8B5FD"/>
  <w15:chartTrackingRefBased/>
  <w15:docId w15:val="{C07145F6-78FE-46EB-A2DF-0DA68356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6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66F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5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D7BB1-592D-4D02-85A5-3B9B8F64E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Muhammad</dc:creator>
  <cp:keywords/>
  <dc:description/>
  <cp:lastModifiedBy>Abdullah Muhammad</cp:lastModifiedBy>
  <cp:revision>2</cp:revision>
  <cp:lastPrinted>2023-12-05T02:34:00Z</cp:lastPrinted>
  <dcterms:created xsi:type="dcterms:W3CDTF">2023-12-04T23:20:00Z</dcterms:created>
  <dcterms:modified xsi:type="dcterms:W3CDTF">2024-02-15T11:06:00Z</dcterms:modified>
</cp:coreProperties>
</file>