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CA06D" w14:textId="77777777" w:rsidR="003775C7" w:rsidRDefault="00000000">
      <w:r>
        <w:rPr>
          <w:rFonts w:ascii="Times New Roman" w:hAnsi="Times New Roman"/>
          <w:b/>
          <w:sz w:val="32"/>
        </w:rPr>
        <w:t>Wisconsin Breast Cancer Diagnostic Classification Project</w:t>
      </w:r>
    </w:p>
    <w:p w14:paraId="37333969" w14:textId="77777777" w:rsidR="003775C7" w:rsidRDefault="00000000">
      <w:r>
        <w:rPr>
          <w:rFonts w:ascii="Times New Roman" w:hAnsi="Times New Roman"/>
          <w:sz w:val="24"/>
        </w:rPr>
        <w:br/>
      </w:r>
      <w:r w:rsidRPr="00161CA5">
        <w:rPr>
          <w:rFonts w:ascii="Times New Roman" w:hAnsi="Times New Roman"/>
          <w:b/>
          <w:bCs/>
          <w:sz w:val="24"/>
        </w:rPr>
        <w:t>Project Abstract &amp; Clinical Significance</w:t>
      </w:r>
      <w:r>
        <w:rPr>
          <w:rFonts w:ascii="Times New Roman" w:hAnsi="Times New Roman"/>
          <w:sz w:val="24"/>
        </w:rPr>
        <w:br/>
      </w:r>
      <w:r>
        <w:rPr>
          <w:rFonts w:ascii="Times New Roman" w:hAnsi="Times New Roman"/>
          <w:sz w:val="24"/>
        </w:rPr>
        <w:br/>
        <w:t>This repository hosts a production-grade, end-to-end data science and machine learning architecture centered around the classic Wisconsin Breast Cancer (Diagnostic) dataset. In clinical oncology, distinguishing between benign and malignant tumors using digitized images of fine-needle aspirate (FNA) biopsies is a safety-critical classification challenge. This project addresses that challenge by building a highly structured, scientifically sound analytical pipeline that moves seamlessly from raw feature exploration to cross-validated probabilistic modeling.</w:t>
      </w:r>
      <w:r>
        <w:rPr>
          <w:rFonts w:ascii="Times New Roman" w:hAnsi="Times New Roman"/>
          <w:sz w:val="24"/>
        </w:rPr>
        <w:br/>
      </w:r>
      <w:r>
        <w:rPr>
          <w:rFonts w:ascii="Times New Roman" w:hAnsi="Times New Roman"/>
          <w:sz w:val="24"/>
        </w:rPr>
        <w:br/>
      </w:r>
      <w:r w:rsidRPr="00161CA5">
        <w:rPr>
          <w:rFonts w:ascii="Times New Roman" w:hAnsi="Times New Roman"/>
          <w:b/>
          <w:bCs/>
          <w:sz w:val="24"/>
        </w:rPr>
        <w:t>Exploratory Data Analysis &amp; Statistical Auditing</w:t>
      </w:r>
      <w:r>
        <w:rPr>
          <w:rFonts w:ascii="Times New Roman" w:hAnsi="Times New Roman"/>
          <w:sz w:val="24"/>
        </w:rPr>
        <w:br/>
      </w:r>
      <w:r>
        <w:rPr>
          <w:rFonts w:ascii="Times New Roman" w:hAnsi="Times New Roman"/>
          <w:sz w:val="24"/>
        </w:rPr>
        <w:br/>
        <w:t>The pipeline begins with a thorough diagnostic phase to understand the underlying data distribution and geometric relationships. The dataset contains 569 instances with 30 continuous features that capture various attributes of cell nuclei, including radius, texture, perimeter, area, smoothness, compactness, concavity, concave points, symmetry, and fractal dimension.</w:t>
      </w:r>
      <w:r>
        <w:rPr>
          <w:rFonts w:ascii="Times New Roman" w:hAnsi="Times New Roman"/>
          <w:sz w:val="24"/>
        </w:rPr>
        <w:br/>
      </w:r>
      <w:r>
        <w:rPr>
          <w:rFonts w:ascii="Times New Roman" w:hAnsi="Times New Roman"/>
          <w:sz w:val="24"/>
        </w:rPr>
        <w:br/>
      </w:r>
      <w:r w:rsidRPr="00161CA5">
        <w:rPr>
          <w:rFonts w:ascii="Times New Roman" w:hAnsi="Times New Roman"/>
          <w:b/>
          <w:bCs/>
          <w:sz w:val="24"/>
        </w:rPr>
        <w:t>• Univariate Density Analysis</w:t>
      </w:r>
      <w:r>
        <w:rPr>
          <w:rFonts w:ascii="Times New Roman" w:hAnsi="Times New Roman"/>
          <w:sz w:val="24"/>
        </w:rPr>
        <w:t>: The pipeline evaluates feature distributions across diagnosis groups, revealing that size-based characteristics such as mean radius, mean perimeter, and mean area exhibit right-skewed profiles with distinct separation paths between benign and malignant classes.</w:t>
      </w:r>
      <w:r>
        <w:rPr>
          <w:rFonts w:ascii="Times New Roman" w:hAnsi="Times New Roman"/>
          <w:sz w:val="24"/>
        </w:rPr>
        <w:br/>
      </w:r>
      <w:r>
        <w:rPr>
          <w:rFonts w:ascii="Times New Roman" w:hAnsi="Times New Roman"/>
          <w:sz w:val="24"/>
        </w:rPr>
        <w:br/>
      </w:r>
      <w:r w:rsidRPr="00161CA5">
        <w:rPr>
          <w:rFonts w:ascii="Times New Roman" w:hAnsi="Times New Roman"/>
          <w:b/>
          <w:bCs/>
          <w:sz w:val="24"/>
        </w:rPr>
        <w:t>• Multicollinearity Checks:</w:t>
      </w:r>
      <w:r>
        <w:rPr>
          <w:rFonts w:ascii="Times New Roman" w:hAnsi="Times New Roman"/>
          <w:sz w:val="24"/>
        </w:rPr>
        <w:t xml:space="preserve"> By computing a high-dimensional Pearson correlation matrix, the system reveals intense multicollinearity among related size features, with correlation values exceeding 0.90. This finding informs preprocessing decisions and helps prevent unstable regression coefficients.</w:t>
      </w:r>
      <w:r>
        <w:rPr>
          <w:rFonts w:ascii="Times New Roman" w:hAnsi="Times New Roman"/>
          <w:sz w:val="24"/>
        </w:rPr>
        <w:br/>
      </w:r>
      <w:r>
        <w:rPr>
          <w:rFonts w:ascii="Times New Roman" w:hAnsi="Times New Roman"/>
          <w:sz w:val="24"/>
        </w:rPr>
        <w:br/>
      </w:r>
      <w:r w:rsidRPr="00161CA5">
        <w:rPr>
          <w:rFonts w:ascii="Times New Roman" w:hAnsi="Times New Roman"/>
          <w:b/>
          <w:bCs/>
          <w:sz w:val="24"/>
        </w:rPr>
        <w:t>• Outlier Auditing</w:t>
      </w:r>
      <w:r>
        <w:rPr>
          <w:rFonts w:ascii="Times New Roman" w:hAnsi="Times New Roman"/>
          <w:sz w:val="24"/>
        </w:rPr>
        <w:t>: Box plots based on the Interquartile Range (IQR) are used to isolate and evaluate extreme variations, ensuring the data remains clean and stable before modeling.</w:t>
      </w:r>
      <w:r>
        <w:rPr>
          <w:rFonts w:ascii="Times New Roman" w:hAnsi="Times New Roman"/>
          <w:sz w:val="24"/>
        </w:rPr>
        <w:br/>
      </w:r>
      <w:r>
        <w:rPr>
          <w:rFonts w:ascii="Times New Roman" w:hAnsi="Times New Roman"/>
          <w:sz w:val="24"/>
        </w:rPr>
        <w:br/>
      </w:r>
      <w:r w:rsidRPr="00161CA5">
        <w:rPr>
          <w:rFonts w:ascii="Times New Roman" w:hAnsi="Times New Roman"/>
          <w:b/>
          <w:bCs/>
          <w:sz w:val="24"/>
        </w:rPr>
        <w:t>Leak-Proof Preprocessing &amp; Transformation Pipeline</w:t>
      </w:r>
      <w:r w:rsidRPr="00161CA5">
        <w:rPr>
          <w:rFonts w:ascii="Times New Roman" w:hAnsi="Times New Roman"/>
          <w:b/>
          <w:bCs/>
          <w:sz w:val="24"/>
        </w:rPr>
        <w:br/>
      </w:r>
      <w:r>
        <w:rPr>
          <w:rFonts w:ascii="Times New Roman" w:hAnsi="Times New Roman"/>
          <w:sz w:val="24"/>
        </w:rPr>
        <w:br/>
      </w:r>
      <w:r w:rsidRPr="00161CA5">
        <w:rPr>
          <w:rFonts w:ascii="Times New Roman" w:hAnsi="Times New Roman"/>
          <w:b/>
          <w:bCs/>
          <w:sz w:val="24"/>
        </w:rPr>
        <w:t>• Stratified Partitioning</w:t>
      </w:r>
      <w:r>
        <w:rPr>
          <w:rFonts w:ascii="Times New Roman" w:hAnsi="Times New Roman"/>
          <w:sz w:val="24"/>
        </w:rPr>
        <w:t xml:space="preserve">: The dataset is divided using an 80/20 train-test split with stratification to preserve the proportion of benign and malignant cases. The training set contains 455 </w:t>
      </w:r>
      <w:proofErr w:type="gramStart"/>
      <w:r>
        <w:rPr>
          <w:rFonts w:ascii="Times New Roman" w:hAnsi="Times New Roman"/>
          <w:sz w:val="24"/>
        </w:rPr>
        <w:t>samples</w:t>
      </w:r>
      <w:proofErr w:type="gramEnd"/>
      <w:r>
        <w:rPr>
          <w:rFonts w:ascii="Times New Roman" w:hAnsi="Times New Roman"/>
          <w:sz w:val="24"/>
        </w:rPr>
        <w:t xml:space="preserve"> and the testing set contains 114 samples.</w:t>
      </w:r>
      <w:r>
        <w:rPr>
          <w:rFonts w:ascii="Times New Roman" w:hAnsi="Times New Roman"/>
          <w:sz w:val="24"/>
        </w:rPr>
        <w:br/>
      </w:r>
      <w:r>
        <w:rPr>
          <w:rFonts w:ascii="Times New Roman" w:hAnsi="Times New Roman"/>
          <w:sz w:val="24"/>
        </w:rPr>
        <w:br/>
      </w:r>
      <w:r w:rsidRPr="00161CA5">
        <w:rPr>
          <w:rFonts w:ascii="Times New Roman" w:hAnsi="Times New Roman"/>
          <w:b/>
          <w:bCs/>
          <w:sz w:val="24"/>
        </w:rPr>
        <w:lastRenderedPageBreak/>
        <w:t>• Feature Standardization</w:t>
      </w:r>
      <w:r>
        <w:rPr>
          <w:rFonts w:ascii="Times New Roman" w:hAnsi="Times New Roman"/>
          <w:sz w:val="24"/>
        </w:rPr>
        <w:t>: Z-score normalization is applied using StandardScaler. The scaler is fitted only on the training data and then applied to the testing data to eliminate data leakage.</w:t>
      </w:r>
      <w:r>
        <w:rPr>
          <w:rFonts w:ascii="Times New Roman" w:hAnsi="Times New Roman"/>
          <w:sz w:val="24"/>
        </w:rPr>
        <w:br/>
      </w:r>
      <w:r>
        <w:rPr>
          <w:rFonts w:ascii="Times New Roman" w:hAnsi="Times New Roman"/>
          <w:sz w:val="24"/>
        </w:rPr>
        <w:br/>
      </w:r>
      <w:r w:rsidRPr="00161CA5">
        <w:rPr>
          <w:rFonts w:ascii="Times New Roman" w:hAnsi="Times New Roman"/>
          <w:b/>
          <w:bCs/>
          <w:sz w:val="24"/>
        </w:rPr>
        <w:t>Predictive Modeling &amp; Validation Strategy</w:t>
      </w:r>
      <w:r w:rsidRPr="00161CA5">
        <w:rPr>
          <w:rFonts w:ascii="Times New Roman" w:hAnsi="Times New Roman"/>
          <w:b/>
          <w:bCs/>
          <w:sz w:val="24"/>
        </w:rPr>
        <w:br/>
      </w:r>
      <w:r>
        <w:rPr>
          <w:rFonts w:ascii="Times New Roman" w:hAnsi="Times New Roman"/>
          <w:sz w:val="24"/>
        </w:rPr>
        <w:br/>
      </w:r>
      <w:r w:rsidRPr="00161CA5">
        <w:rPr>
          <w:rFonts w:ascii="Times New Roman" w:hAnsi="Times New Roman"/>
          <w:b/>
          <w:bCs/>
          <w:sz w:val="24"/>
        </w:rPr>
        <w:t>• Probabilistic Logistic Regression:</w:t>
      </w:r>
      <w:r>
        <w:rPr>
          <w:rFonts w:ascii="Times New Roman" w:hAnsi="Times New Roman"/>
          <w:sz w:val="24"/>
        </w:rPr>
        <w:t xml:space="preserve"> This serves as the primary classifier. Through the sigmoid function, predictions are converted into valid probabilities between 0 and 1.</w:t>
      </w:r>
      <w:r>
        <w:rPr>
          <w:rFonts w:ascii="Times New Roman" w:hAnsi="Times New Roman"/>
          <w:sz w:val="24"/>
        </w:rPr>
        <w:br/>
      </w:r>
      <w:r>
        <w:rPr>
          <w:rFonts w:ascii="Times New Roman" w:hAnsi="Times New Roman"/>
          <w:sz w:val="24"/>
        </w:rPr>
        <w:br/>
      </w:r>
      <w:r w:rsidRPr="00161CA5">
        <w:rPr>
          <w:rFonts w:ascii="Times New Roman" w:hAnsi="Times New Roman"/>
          <w:b/>
          <w:bCs/>
          <w:sz w:val="24"/>
        </w:rPr>
        <w:t xml:space="preserve">• Ordinary Least Squares (OLS) Linear Regression: </w:t>
      </w:r>
      <w:r>
        <w:rPr>
          <w:rFonts w:ascii="Times New Roman" w:hAnsi="Times New Roman"/>
          <w:sz w:val="24"/>
        </w:rPr>
        <w:t>This model is included as a baseline comparison. Since its outputs are unbounded, a rounding and clipping mechanism is applied to transform predictions into binary classes.</w:t>
      </w:r>
      <w:r>
        <w:rPr>
          <w:rFonts w:ascii="Times New Roman" w:hAnsi="Times New Roman"/>
          <w:sz w:val="24"/>
        </w:rPr>
        <w:br/>
      </w:r>
      <w:r>
        <w:rPr>
          <w:rFonts w:ascii="Times New Roman" w:hAnsi="Times New Roman"/>
          <w:sz w:val="24"/>
        </w:rPr>
        <w:br/>
      </w:r>
      <w:r w:rsidRPr="00161CA5">
        <w:rPr>
          <w:rFonts w:ascii="Times New Roman" w:hAnsi="Times New Roman"/>
          <w:b/>
          <w:bCs/>
          <w:sz w:val="24"/>
        </w:rPr>
        <w:t>• 5-Fold Cross-Validation:</w:t>
      </w:r>
      <w:r>
        <w:rPr>
          <w:rFonts w:ascii="Times New Roman" w:hAnsi="Times New Roman"/>
          <w:sz w:val="24"/>
        </w:rPr>
        <w:t xml:space="preserve"> Both models are evaluated using a rigorous five-fold cross-validation strategy to ensure robust and generalizable performance.</w:t>
      </w:r>
      <w:r>
        <w:rPr>
          <w:rFonts w:ascii="Times New Roman" w:hAnsi="Times New Roman"/>
          <w:sz w:val="24"/>
        </w:rPr>
        <w:br/>
      </w:r>
      <w:r>
        <w:rPr>
          <w:rFonts w:ascii="Times New Roman" w:hAnsi="Times New Roman"/>
          <w:sz w:val="24"/>
        </w:rPr>
        <w:br/>
      </w:r>
      <w:r w:rsidRPr="00161CA5">
        <w:rPr>
          <w:rFonts w:ascii="Times New Roman" w:hAnsi="Times New Roman"/>
          <w:b/>
          <w:bCs/>
          <w:sz w:val="24"/>
        </w:rPr>
        <w:t>Benchmark Results &amp; Deployment Decisions</w:t>
      </w:r>
      <w:r>
        <w:rPr>
          <w:rFonts w:ascii="Times New Roman" w:hAnsi="Times New Roman"/>
          <w:sz w:val="24"/>
        </w:rPr>
        <w:br/>
      </w:r>
      <w:r>
        <w:rPr>
          <w:rFonts w:ascii="Times New Roman" w:hAnsi="Times New Roman"/>
          <w:sz w:val="24"/>
        </w:rPr>
        <w:br/>
      </w:r>
      <w:r w:rsidRPr="00161CA5">
        <w:rPr>
          <w:rFonts w:ascii="Times New Roman" w:hAnsi="Times New Roman"/>
          <w:b/>
          <w:bCs/>
          <w:sz w:val="24"/>
        </w:rPr>
        <w:t>• Logistic Regression Performance</w:t>
      </w:r>
      <w:r>
        <w:rPr>
          <w:rFonts w:ascii="Times New Roman" w:hAnsi="Times New Roman"/>
          <w:sz w:val="24"/>
        </w:rPr>
        <w:t>: The model achieves a final test accuracy of 95.61% and a mean 5-fold cross-validation accuracy of 96.92%. It delivers balanced class performance, achieving an F1-score of 0.97 for benign tumors and 0.94 for malignant tumors.</w:t>
      </w:r>
      <w:r>
        <w:rPr>
          <w:rFonts w:ascii="Times New Roman" w:hAnsi="Times New Roman"/>
          <w:sz w:val="24"/>
        </w:rPr>
        <w:br/>
      </w:r>
      <w:r>
        <w:rPr>
          <w:rFonts w:ascii="Times New Roman" w:hAnsi="Times New Roman"/>
          <w:sz w:val="24"/>
        </w:rPr>
        <w:br/>
      </w:r>
      <w:r w:rsidRPr="00161CA5">
        <w:rPr>
          <w:rFonts w:ascii="Times New Roman" w:hAnsi="Times New Roman"/>
          <w:b/>
          <w:bCs/>
          <w:sz w:val="24"/>
        </w:rPr>
        <w:t>• Clinical Priority (Recall vs Accuracy):</w:t>
      </w:r>
      <w:r>
        <w:rPr>
          <w:rFonts w:ascii="Times New Roman" w:hAnsi="Times New Roman"/>
          <w:sz w:val="24"/>
        </w:rPr>
        <w:t xml:space="preserve"> Although both models achieved a final test accuracy of 95.61%, Logistic Regression is selected for deployment. Linear Regression exhibits a higher false negative rate of 10%, which is unacceptable in a clinical setting. Missing a malignant case carries significant risk. Logistic Regression improves malignant-case recall to 95%, making it a safer and more reliable solution for medical decision support systems.</w:t>
      </w:r>
      <w:r>
        <w:rPr>
          <w:rFonts w:ascii="Times New Roman" w:hAnsi="Times New Roman"/>
          <w:sz w:val="24"/>
        </w:rPr>
        <w:br/>
      </w:r>
    </w:p>
    <w:sectPr w:rsidR="003775C7" w:rsidSect="00034616">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6881065">
    <w:abstractNumId w:val="8"/>
  </w:num>
  <w:num w:numId="2" w16cid:durableId="573974045">
    <w:abstractNumId w:val="6"/>
  </w:num>
  <w:num w:numId="3" w16cid:durableId="1585992123">
    <w:abstractNumId w:val="5"/>
  </w:num>
  <w:num w:numId="4" w16cid:durableId="646252379">
    <w:abstractNumId w:val="4"/>
  </w:num>
  <w:num w:numId="5" w16cid:durableId="348725246">
    <w:abstractNumId w:val="7"/>
  </w:num>
  <w:num w:numId="6" w16cid:durableId="538710144">
    <w:abstractNumId w:val="3"/>
  </w:num>
  <w:num w:numId="7" w16cid:durableId="1795634756">
    <w:abstractNumId w:val="2"/>
  </w:num>
  <w:num w:numId="8" w16cid:durableId="346832507">
    <w:abstractNumId w:val="1"/>
  </w:num>
  <w:num w:numId="9" w16cid:durableId="880745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CA5"/>
    <w:rsid w:val="0029639D"/>
    <w:rsid w:val="00326F90"/>
    <w:rsid w:val="003775C7"/>
    <w:rsid w:val="00AA1D8D"/>
    <w:rsid w:val="00B16E5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76E2A6"/>
  <w14:defaultImageDpi w14:val="300"/>
  <w15:docId w15:val="{8128AAE8-415F-4669-AFCE-4B6A1D252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01-135212-099</cp:lastModifiedBy>
  <cp:revision>2</cp:revision>
  <dcterms:created xsi:type="dcterms:W3CDTF">2013-12-23T23:15:00Z</dcterms:created>
  <dcterms:modified xsi:type="dcterms:W3CDTF">2026-06-08T16:49:00Z</dcterms:modified>
  <cp:category/>
</cp:coreProperties>
</file>