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D3B"/>
          <w:sz w:val="52"/>
        </w:rPr>
        <w:t>factora Journal — 10 Posts</w:t>
      </w:r>
    </w:p>
    <w:p>
      <w:r>
        <w:rPr>
          <w:color w:val="777777"/>
          <w:sz w:val="22"/>
        </w:rPr>
        <w:t>Original entries by Emilio Lopez · September 19, 2026</w:t>
      </w:r>
    </w:p>
    <w:p>
      <w:r>
        <w:t>Ten complete, original posts in the factora Journal voice — each one built around the evidence trail. Every post contains exactly two contextual anchor links to factsledger.com, woven into the narrative. Each entry lists a suggested slug and meta description for upload.</w:t>
      </w:r>
    </w:p>
    <w:p>
      <w:r>
        <w:br w:type="page"/>
      </w:r>
    </w:p>
    <w:p>
      <w:pPr>
        <w:pStyle w:val="Heading2"/>
      </w:pPr>
      <w:r>
        <w:t>1. History — The Day Boston Drowned in Molasses</w:t>
      </w:r>
    </w:p>
    <w:p>
      <w:r>
        <w:rPr>
          <w:b/>
          <w:color w:val="777777"/>
          <w:sz w:val="19"/>
        </w:rPr>
        <w:t xml:space="preserve">Suggested slug: </w:t>
      </w:r>
      <w:r>
        <w:rPr>
          <w:color w:val="777777"/>
          <w:sz w:val="19"/>
        </w:rPr>
        <w:t>/posts/boston-molasses-flood</w:t>
      </w:r>
    </w:p>
    <w:p>
      <w:r>
        <w:rPr>
          <w:b/>
          <w:color w:val="777777"/>
          <w:sz w:val="19"/>
        </w:rPr>
        <w:t xml:space="preserve">Meta description: </w:t>
      </w:r>
      <w:r>
        <w:rPr>
          <w:color w:val="777777"/>
          <w:sz w:val="19"/>
        </w:rPr>
        <w:t>In 1919, a tank burst in Boston and sent a 25-foot wave of molasses through the North End. The evidence trail behind one of history’s strangest disasters.</w:t>
      </w:r>
    </w:p>
    <w:p/>
    <w:p>
      <w:r>
        <w:rPr>
          <w:sz w:val="21"/>
        </w:rPr>
        <w:t xml:space="preserve">On January 15, 1919, a riveted steel tank in Boston’s North End split open and released 2.3 million gallons of molasses. Witnesses described a 25-foot wave moving at 35 miles per hour — fast enough to rip buildings from foundations, flip a truck, and tear an elevated railway girder from its moorings. Twenty-one people died and 150 were injured, making it </w:t>
      </w:r>
      <w:hyperlink r:id="rId9">
        <w:r>
          <w:rPr>
            <w:sz w:val="21"/>
            <w:color w:val="0563C1"/>
            <w:u w:val="single"/>
            <w:rFonts w:ascii="Calibri" w:hAnsi="Calibri"/>
          </w:rPr>
          <w:t>one of the best-documented industrial disasters on record</w:t>
        </w:r>
      </w:hyperlink>
      <w:r>
        <w:rPr>
          <w:sz w:val="21"/>
        </w:rPr>
        <w:t>. For decades, Bostonians swore you could still smell molasses on hot summer days.</w:t>
      </w:r>
    </w:p>
    <w:p/>
    <w:p>
      <w:r>
        <w:rPr>
          <w:sz w:val="21"/>
        </w:rPr>
        <w:t xml:space="preserve">The tank had been filled to capacity and poorly built — it leaked from the day it was commissioned, and the company painted it brown to hide the seepage. A rapid temperature swing, from bitter cold to 40°F, plus fermenting molasses building gas pressure inside, finished the job. The full sequence was </w:t>
      </w:r>
      <w:hyperlink r:id="rId9">
        <w:r>
          <w:rPr>
            <w:sz w:val="21"/>
            <w:color w:val="0563C1"/>
            <w:u w:val="single"/>
            <w:rFonts w:ascii="Calibri" w:hAnsi="Calibri"/>
          </w:rPr>
          <w:t>reconstructed from court transcripts and engineering reports</w:t>
        </w:r>
      </w:hyperlink>
      <w:r>
        <w:rPr>
          <w:sz w:val="21"/>
        </w:rPr>
        <w:t xml:space="preserve"> filed during the landmark lawsuit that followed, one of the first to use expert scientific testimony in an American courtroom.</w:t>
      </w:r>
    </w:p>
    <w:p/>
    <w:p>
      <w:r>
        <w:rPr>
          <w:i/>
          <w:color w:val="777777"/>
          <w:sz w:val="20"/>
        </w:rPr>
        <w:t>How we know: trial records from the 1920–25 lawsuit, contemporary newspaper coverage, and a 2016 Harvard fluid-dynamics study that modeled the wave’s speed.</w:t>
      </w:r>
    </w:p>
    <w:p>
      <w:r>
        <w:br w:type="page"/>
      </w:r>
    </w:p>
    <w:p>
      <w:pPr>
        <w:pStyle w:val="Heading2"/>
      </w:pPr>
      <w:r>
        <w:t>2. Nature — The Animal With Three Hearts and Blue Blood</w:t>
      </w:r>
    </w:p>
    <w:p>
      <w:r>
        <w:rPr>
          <w:b/>
          <w:color w:val="777777"/>
          <w:sz w:val="19"/>
        </w:rPr>
        <w:t xml:space="preserve">Suggested slug: </w:t>
      </w:r>
      <w:r>
        <w:rPr>
          <w:color w:val="777777"/>
          <w:sz w:val="19"/>
        </w:rPr>
        <w:t>/posts/octopus-three-hearts</w:t>
      </w:r>
    </w:p>
    <w:p>
      <w:r>
        <w:rPr>
          <w:b/>
          <w:color w:val="777777"/>
          <w:sz w:val="19"/>
        </w:rPr>
        <w:t xml:space="preserve">Meta description: </w:t>
      </w:r>
      <w:r>
        <w:rPr>
          <w:color w:val="777777"/>
          <w:sz w:val="19"/>
        </w:rPr>
        <w:t>An octopus has three hearts, blue copper-based blood — and a main heart that stops every time it swims. The biology behind the strangest circulation on Earth.</w:t>
      </w:r>
    </w:p>
    <w:p/>
    <w:p>
      <w:r>
        <w:rPr>
          <w:sz w:val="21"/>
        </w:rPr>
        <w:t xml:space="preserve">An octopus carries three hearts: two pump blood to the gills, and one pumps it to the rest of the body. Its blood runs blue, not red, because it uses copper-based hemocyanin instead of iron-based hemoglobin to carry oxygen — a better design for the cold, low-oxygen deep sea. These are not trivia footnotes; they are </w:t>
      </w:r>
      <w:hyperlink r:id="rId9">
        <w:r>
          <w:rPr>
            <w:sz w:val="21"/>
            <w:color w:val="0563C1"/>
            <w:u w:val="single"/>
            <w:rFonts w:ascii="Calibri" w:hAnsi="Calibri"/>
          </w:rPr>
          <w:t>documented across independently verified species profiles</w:t>
        </w:r>
      </w:hyperlink>
      <w:r>
        <w:rPr>
          <w:sz w:val="21"/>
        </w:rPr>
        <w:t xml:space="preserve"> spanning all 300 known octopus species.</w:t>
      </w:r>
    </w:p>
    <w:p/>
    <w:p>
      <w:r>
        <w:rPr>
          <w:sz w:val="21"/>
        </w:rPr>
        <w:t xml:space="preserve">Here is the stranger part: the main heart stops beating whenever the octopus swims. Swimming is so exhausting for its body plan that octopuses prefer to crawl along the seafloor — they quite literally get tired faster than almost any animal their size. The whole arrangement, inefficient as it looks, has been </w:t>
      </w:r>
      <w:hyperlink r:id="rId9">
        <w:r>
          <w:rPr>
            <w:sz w:val="21"/>
            <w:color w:val="0563C1"/>
            <w:u w:val="single"/>
            <w:rFonts w:ascii="Calibri" w:hAnsi="Calibri"/>
          </w:rPr>
          <w:t>confirmed by laboratory observation</w:t>
        </w:r>
      </w:hyperlink>
      <w:r>
        <w:rPr>
          <w:sz w:val="21"/>
        </w:rPr>
        <w:t xml:space="preserve"> and dissections going back to the 19th century, and it works: octopuses have thrived for 300 million years.</w:t>
      </w:r>
    </w:p>
    <w:p/>
    <w:p>
      <w:r>
        <w:rPr>
          <w:i/>
          <w:color w:val="777777"/>
          <w:sz w:val="20"/>
        </w:rPr>
        <w:t>How we know: cephalopod physiology literature, including laboratory studies of circulation under exertion, and the fossil record of early cephalopods.</w:t>
      </w:r>
    </w:p>
    <w:p>
      <w:r>
        <w:br w:type="page"/>
      </w:r>
    </w:p>
    <w:p>
      <w:pPr>
        <w:pStyle w:val="Heading2"/>
      </w:pPr>
      <w:r>
        <w:t>3. History — The War That Lasted 38 Minutes</w:t>
      </w:r>
    </w:p>
    <w:p>
      <w:r>
        <w:rPr>
          <w:b/>
          <w:color w:val="777777"/>
          <w:sz w:val="19"/>
        </w:rPr>
        <w:t xml:space="preserve">Suggested slug: </w:t>
      </w:r>
      <w:r>
        <w:rPr>
          <w:color w:val="777777"/>
          <w:sz w:val="19"/>
        </w:rPr>
        <w:t>/posts/shortest-war-anglo-zanzibar</w:t>
      </w:r>
    </w:p>
    <w:p>
      <w:r>
        <w:rPr>
          <w:b/>
          <w:color w:val="777777"/>
          <w:sz w:val="19"/>
        </w:rPr>
        <w:t xml:space="preserve">Meta description: </w:t>
      </w:r>
      <w:r>
        <w:rPr>
          <w:color w:val="777777"/>
          <w:sz w:val="19"/>
        </w:rPr>
        <w:t>In 1896, Britain and Zanzibar fought the shortest recorded war in history — about 38 minutes. How we know, from naval logs and press reports.</w:t>
      </w:r>
    </w:p>
    <w:p/>
    <w:p>
      <w:r>
        <w:rPr>
          <w:sz w:val="21"/>
        </w:rPr>
        <w:t xml:space="preserve">On August 27, 1896, the Anglo-Zanzibar War began at 9:02 a.m. and was over by about 9:40. The cause was a succession dispute: Sultan Hamad had died, and his nephew Khalid seized the palace without British approval. Britain, which held a protectorate over Zanzibar, issued an ultimatum to vacate by 9:00 a.m. Khalid barricaded himself inside with 2,800 men, a few artillery pieces, and a royal yacht fitted with a single gun. The timeline is </w:t>
      </w:r>
      <w:hyperlink r:id="rId9">
        <w:r>
          <w:rPr>
            <w:sz w:val="21"/>
            <w:color w:val="0563C1"/>
            <w:u w:val="single"/>
            <w:rFonts w:ascii="Calibri" w:hAnsi="Calibri"/>
          </w:rPr>
          <w:t>recorded in naval logs and contemporary press</w:t>
        </w:r>
      </w:hyperlink>
      <w:r>
        <w:rPr>
          <w:sz w:val="21"/>
        </w:rPr>
        <w:t xml:space="preserve"> almost to the minute.</w:t>
      </w:r>
    </w:p>
    <w:p/>
    <w:p>
      <w:r>
        <w:rPr>
          <w:sz w:val="21"/>
        </w:rPr>
        <w:t xml:space="preserve">At 9:02, three British warships opened fire. The palace — mostly wooden — caught fire within minutes; the yacht was sunk; Khalid fled to the German consulate. Around 500 Zanzibaris were killed or wounded. The British suffered one casualty: a petty officer badly wounded in the leg. The whole affair is </w:t>
      </w:r>
      <w:hyperlink r:id="rId9">
        <w:r>
          <w:rPr>
            <w:sz w:val="21"/>
            <w:color w:val="0563C1"/>
            <w:u w:val="single"/>
            <w:rFonts w:ascii="Calibri" w:hAnsi="Calibri"/>
          </w:rPr>
          <w:t>preserved in detailed historical entries</w:t>
        </w:r>
      </w:hyperlink>
      <w:r>
        <w:rPr>
          <w:sz w:val="21"/>
        </w:rPr>
        <w:t xml:space="preserve"> because Victorian Britain documented its gunboat diplomacy meticulously — including the awkward fact that the ‘enemy fleet’ was a single pleasure yacht.</w:t>
      </w:r>
    </w:p>
    <w:p/>
    <w:p>
      <w:r>
        <w:rPr>
          <w:i/>
          <w:color w:val="777777"/>
          <w:sz w:val="20"/>
        </w:rPr>
        <w:t>How we know: British Admiralty records, the ultimatum correspondence, and same-week reporting in the London press.</w:t>
      </w:r>
    </w:p>
    <w:p>
      <w:r>
        <w:br w:type="page"/>
      </w:r>
    </w:p>
    <w:p>
      <w:pPr>
        <w:pStyle w:val="Heading2"/>
      </w:pPr>
      <w:r>
        <w:t>4. Science — The Physicist Who Was Told Hot Water Can’t Freeze Faster</w:t>
      </w:r>
    </w:p>
    <w:p>
      <w:r>
        <w:rPr>
          <w:b/>
          <w:color w:val="777777"/>
          <w:sz w:val="19"/>
        </w:rPr>
        <w:t xml:space="preserve">Suggested slug: </w:t>
      </w:r>
      <w:r>
        <w:rPr>
          <w:color w:val="777777"/>
          <w:sz w:val="19"/>
        </w:rPr>
        <w:t>/posts/mpemba-effect-hot-water-freeze</w:t>
      </w:r>
    </w:p>
    <w:p>
      <w:r>
        <w:rPr>
          <w:b/>
          <w:color w:val="777777"/>
          <w:sz w:val="19"/>
        </w:rPr>
        <w:t xml:space="preserve">Meta description: </w:t>
      </w:r>
      <w:r>
        <w:rPr>
          <w:color w:val="777777"/>
          <w:sz w:val="19"/>
        </w:rPr>
        <w:t>A Tanzanian student noticed hot ice-cream mix froze faster than cold. He was laughed at — until a physicist tested it. The strange, still-debated Mpemba effect.</w:t>
      </w:r>
    </w:p>
    <w:p/>
    <w:p>
      <w:r>
        <w:rPr>
          <w:sz w:val="21"/>
        </w:rPr>
        <w:t xml:space="preserve">In 1963, Tanzanian schoolboy Erasto Mpemba was making ice cream in class when he noticed something wrong: his hot mix froze before his classmates’ cooled mix. His teacher mocked him. Undeterred, Mpemba asked a visiting physicist, Denis Osborne, who tested it in his lab and got the same result. Under certain conditions, hot water really can freeze faster than cold — and the phenomenon now carries the student’s name in </w:t>
      </w:r>
      <w:hyperlink r:id="rId9">
        <w:r>
          <w:rPr>
            <w:sz w:val="21"/>
            <w:color w:val="0563C1"/>
            <w:u w:val="single"/>
            <w:rFonts w:ascii="Calibri" w:hAnsi="Calibri"/>
          </w:rPr>
          <w:t>published experimental records</w:t>
        </w:r>
      </w:hyperlink>
      <w:r>
        <w:rPr>
          <w:sz w:val="21"/>
        </w:rPr>
        <w:t xml:space="preserve"> beginning with Mpemba and Osborne’s 1969 paper.</w:t>
      </w:r>
    </w:p>
    <w:p/>
    <w:p>
      <w:r>
        <w:rPr>
          <w:sz w:val="21"/>
        </w:rPr>
        <w:t xml:space="preserve">Here’s the twist that makes it a factora story: nobody fully agrees on why. Candidates include faster evaporation of hot water, stronger convection currents, fewer dissolved gases, and differences in supercooling. Aristotle and Descartes both noticed something similar centuries earlier, yet modern labs still argue about the mechanism — a fact that survives in </w:t>
      </w:r>
      <w:hyperlink r:id="rId9">
        <w:r>
          <w:rPr>
            <w:sz w:val="21"/>
            <w:color w:val="0563C1"/>
            <w:u w:val="single"/>
            <w:rFonts w:ascii="Calibri" w:hAnsi="Calibri"/>
          </w:rPr>
          <w:t>independently replicated studies</w:t>
        </w:r>
      </w:hyperlink>
      <w:r>
        <w:rPr>
          <w:sz w:val="21"/>
        </w:rPr>
        <w:t xml:space="preserve"> while its explanation remains gloriously unsettled.</w:t>
      </w:r>
    </w:p>
    <w:p/>
    <w:p>
      <w:r>
        <w:rPr>
          <w:i/>
          <w:color w:val="777777"/>
          <w:sz w:val="20"/>
        </w:rPr>
        <w:t>How we know: Mpemba &amp; Osborne (1969), plus dozens of replication attempts catalogued in the physics literature — including several that failed, which is itself informative.</w:t>
      </w:r>
    </w:p>
    <w:p>
      <w:r>
        <w:br w:type="page"/>
      </w:r>
    </w:p>
    <w:p>
      <w:pPr>
        <w:pStyle w:val="Heading2"/>
      </w:pPr>
      <w:r>
        <w:t>5. People — The First Computer Programmer Was a Victorian Countess</w:t>
      </w:r>
    </w:p>
    <w:p>
      <w:r>
        <w:rPr>
          <w:b/>
          <w:color w:val="777777"/>
          <w:sz w:val="19"/>
        </w:rPr>
        <w:t xml:space="preserve">Suggested slug: </w:t>
      </w:r>
      <w:r>
        <w:rPr>
          <w:color w:val="777777"/>
          <w:sz w:val="19"/>
        </w:rPr>
        <w:t>/posts/ada-lovelace-first-programmer</w:t>
      </w:r>
    </w:p>
    <w:p>
      <w:r>
        <w:rPr>
          <w:b/>
          <w:color w:val="777777"/>
          <w:sz w:val="19"/>
        </w:rPr>
        <w:t xml:space="preserve">Meta description: </w:t>
      </w:r>
      <w:r>
        <w:rPr>
          <w:color w:val="777777"/>
          <w:sz w:val="19"/>
        </w:rPr>
        <w:t>A century before computers existed, Ada Lovelace wrote an algorithm for a machine that was never built. The evidence in her 1843 notes.</w:t>
      </w:r>
    </w:p>
    <w:p/>
    <w:p>
      <w:r>
        <w:rPr>
          <w:sz w:val="21"/>
        </w:rPr>
        <w:t xml:space="preserve">In 1843, Ada Lovelace published a set of notes on Charles Babbage’s proposed Analytical Engine — a mechanical computer that existed only on paper. Her notes were three times longer than the paper they annotated, and buried in them was a step-by-step method for computing Bernoulli numbers on the Engine: an algorithm, written for a machine that had never been built, a century before the first computer. Her authorship is established in </w:t>
      </w:r>
      <w:hyperlink r:id="rId9">
        <w:r>
          <w:rPr>
            <w:sz w:val="21"/>
            <w:color w:val="0563C1"/>
            <w:u w:val="single"/>
            <w:rFonts w:ascii="Calibri" w:hAnsi="Calibri"/>
          </w:rPr>
          <w:t>her published notes, archived in full</w:t>
        </w:r>
      </w:hyperlink>
      <w:r>
        <w:rPr>
          <w:sz w:val="21"/>
        </w:rPr>
        <w:t>, signed ‘A.A.L.’</w:t>
      </w:r>
    </w:p>
    <w:p/>
    <w:p>
      <w:r>
        <w:rPr>
          <w:sz w:val="21"/>
        </w:rPr>
        <w:t xml:space="preserve">Lovelace went further than code. She predicted the Engine might one day compose music and manipulate symbols beyond mere numbers — essentially describing software. Babbage called her ‘the Enchantress of Numbers.’ Her priority is </w:t>
      </w:r>
      <w:hyperlink r:id="rId9">
        <w:r>
          <w:rPr>
            <w:sz w:val="21"/>
            <w:color w:val="0563C1"/>
            <w:u w:val="single"/>
            <w:rFonts w:ascii="Calibri" w:hAnsi="Calibri"/>
          </w:rPr>
          <w:t>documented in biographical records</w:t>
        </w:r>
      </w:hyperlink>
      <w:r>
        <w:rPr>
          <w:sz w:val="21"/>
        </w:rPr>
        <w:t xml:space="preserve"> and the notes themselves, which scholars have verified line by line; the algorithm is correct, and it would have worked.</w:t>
      </w:r>
    </w:p>
    <w:p/>
    <w:p>
      <w:r>
        <w:rPr>
          <w:i/>
          <w:color w:val="777777"/>
          <w:sz w:val="20"/>
        </w:rPr>
        <w:t>How we know: Lovelace’s 1843 ‘Notes’ (published with Menabrea’s memoir), Babbage’s correspondence, and modern analyses confirming the algorithm’s validity.</w:t>
      </w:r>
    </w:p>
    <w:p>
      <w:r>
        <w:br w:type="page"/>
      </w:r>
    </w:p>
    <w:p>
      <w:pPr>
        <w:pStyle w:val="Heading2"/>
      </w:pPr>
      <w:r>
        <w:t>6. Nature — The Only Animal That Poops Cubes</w:t>
      </w:r>
    </w:p>
    <w:p>
      <w:r>
        <w:rPr>
          <w:b/>
          <w:color w:val="777777"/>
          <w:sz w:val="19"/>
        </w:rPr>
        <w:t xml:space="preserve">Suggested slug: </w:t>
      </w:r>
      <w:r>
        <w:rPr>
          <w:color w:val="777777"/>
          <w:sz w:val="19"/>
        </w:rPr>
        <w:t>/posts/wombat-cube-poop</w:t>
      </w:r>
    </w:p>
    <w:p>
      <w:r>
        <w:rPr>
          <w:b/>
          <w:color w:val="777777"/>
          <w:sz w:val="19"/>
        </w:rPr>
        <w:t xml:space="preserve">Meta description: </w:t>
      </w:r>
      <w:r>
        <w:rPr>
          <w:color w:val="777777"/>
          <w:sz w:val="19"/>
        </w:rPr>
        <w:t>Wombats are the only known animals that produce cube-shaped droppings — and the reason involves intestinal physics that won an Ig Nobel.</w:t>
      </w:r>
    </w:p>
    <w:p/>
    <w:p>
      <w:r>
        <w:rPr>
          <w:sz w:val="21"/>
        </w:rPr>
        <w:t xml:space="preserve">Among all the world’s animals, only the wombat produces cube-shaped poop. It isn’t sculpted after the fact; the cubes form inside the intestine, where sections of gut stretch at different rates and mold the waste into six-sided blocks. The finding comes from </w:t>
      </w:r>
      <w:hyperlink r:id="rId9">
        <w:r>
          <w:rPr>
            <w:sz w:val="21"/>
            <w:color w:val="0563C1"/>
            <w:u w:val="single"/>
            <w:rFonts w:ascii="Calibri" w:hAnsi="Calibri"/>
          </w:rPr>
          <w:t>peer-reviewed findings</w:t>
        </w:r>
      </w:hyperlink>
      <w:r>
        <w:rPr>
          <w:sz w:val="21"/>
        </w:rPr>
        <w:t xml:space="preserve"> by a Georgia Tech team that studied the intestinal tissue under strain — work that earned the 2019 Ig Nobel Prize in Physics.</w:t>
      </w:r>
    </w:p>
    <w:p/>
    <w:p>
      <w:r>
        <w:rPr>
          <w:sz w:val="21"/>
        </w:rPr>
        <w:t xml:space="preserve">Why cubes? Wombats stack their droppings to mark territory, and cubes don’t roll away. Round pellets would tumble off the rocks and logs where wombats leave their messages. It’s a small masterpiece of evolutionary engineering, </w:t>
      </w:r>
      <w:hyperlink r:id="rId9">
        <w:r>
          <w:rPr>
            <w:sz w:val="21"/>
            <w:color w:val="0563C1"/>
            <w:u w:val="single"/>
            <w:rFonts w:ascii="Calibri" w:hAnsi="Calibri"/>
          </w:rPr>
          <w:t>documented in zoological records</w:t>
        </w:r>
      </w:hyperlink>
      <w:r>
        <w:rPr>
          <w:sz w:val="21"/>
        </w:rPr>
        <w:t xml:space="preserve"> alongside the wombat’s other oddity: a backward-facing pouch that keeps dirt off the joey while mom digs.</w:t>
      </w:r>
    </w:p>
    <w:p/>
    <w:p>
      <w:r>
        <w:rPr>
          <w:i/>
          <w:color w:val="777777"/>
          <w:sz w:val="20"/>
        </w:rPr>
        <w:t>How we know: Hu et al. (2018) on intestinal biomechanics, plus field observations of wombat latrine-stacking behavior in Tasmania.</w:t>
      </w:r>
    </w:p>
    <w:p>
      <w:r>
        <w:br w:type="page"/>
      </w:r>
    </w:p>
    <w:p>
      <w:pPr>
        <w:pStyle w:val="Heading2"/>
      </w:pPr>
      <w:r>
        <w:t>7. History — The War Australia Lost to Birds</w:t>
      </w:r>
    </w:p>
    <w:p>
      <w:r>
        <w:rPr>
          <w:b/>
          <w:color w:val="777777"/>
          <w:sz w:val="19"/>
        </w:rPr>
        <w:t xml:space="preserve">Suggested slug: </w:t>
      </w:r>
      <w:r>
        <w:rPr>
          <w:color w:val="777777"/>
          <w:sz w:val="19"/>
        </w:rPr>
        <w:t>/posts/great-emu-war-1932</w:t>
      </w:r>
    </w:p>
    <w:p>
      <w:r>
        <w:rPr>
          <w:b/>
          <w:color w:val="777777"/>
          <w:sz w:val="19"/>
        </w:rPr>
        <w:t xml:space="preserve">Meta description: </w:t>
      </w:r>
      <w:r>
        <w:rPr>
          <w:color w:val="777777"/>
          <w:sz w:val="19"/>
        </w:rPr>
        <w:t>In 1932, Australia sent soldiers with machine guns against 20,000 emus. The emus won. The military records behind the Great Emu War.</w:t>
      </w:r>
    </w:p>
    <w:p/>
    <w:p>
      <w:r>
        <w:rPr>
          <w:sz w:val="21"/>
        </w:rPr>
        <w:t xml:space="preserve">In late 1932, some 20,000 emus migrated into Western Australia’s wheat country, trampling crops and knocking down fences. Desperate farmers — many of them war veterans — asked for military help. The government obliged: soldiers with Lewis machine guns were deployed under Major G.P.W. Meredith. What followed is preserved in </w:t>
      </w:r>
      <w:hyperlink r:id="rId9">
        <w:r>
          <w:rPr>
            <w:sz w:val="21"/>
            <w:color w:val="0563C1"/>
            <w:u w:val="single"/>
            <w:rFonts w:ascii="Calibri" w:hAnsi="Calibri"/>
          </w:rPr>
          <w:t>military records of the campaign</w:t>
        </w:r>
      </w:hyperlink>
      <w:r>
        <w:rPr>
          <w:sz w:val="21"/>
        </w:rPr>
        <w:t xml:space="preserve"> and it reads like a farce written by the birds themselves.</w:t>
      </w:r>
    </w:p>
    <w:p/>
    <w:p>
      <w:r>
        <w:rPr>
          <w:sz w:val="21"/>
        </w:rPr>
        <w:t xml:space="preserve">The emus scattered at the first burst, ran at 50 km/h in small groups, and seemed to absorb bullets without slowing; one gun jammed after a dozen kills. After a week, the troops withdrew. Meredith reportedly praised the emus’ maneuverability, noting they ‘face machine guns with the tanks’ resilience.’ Press coverage — </w:t>
      </w:r>
      <w:hyperlink r:id="rId9">
        <w:r>
          <w:rPr>
            <w:sz w:val="21"/>
            <w:color w:val="0563C1"/>
            <w:u w:val="single"/>
            <w:rFonts w:ascii="Calibri" w:hAnsi="Calibri"/>
          </w:rPr>
          <w:t>contemporary newspaper accounts, archived and searchable</w:t>
        </w:r>
      </w:hyperlink>
      <w:r>
        <w:rPr>
          <w:sz w:val="21"/>
        </w:rPr>
        <w:t xml:space="preserve"> — turned the whole affair into a national joke, and the government eventually solved the problem the unglamorous way: with fences.</w:t>
      </w:r>
    </w:p>
    <w:p/>
    <w:p>
      <w:r>
        <w:rPr>
          <w:i/>
          <w:color w:val="777777"/>
          <w:sz w:val="20"/>
        </w:rPr>
        <w:t>How we know: Australian Army records of the 1932 operation, Meredith’s own remarks to the press, and newspaper archives from Perth and Sydney.</w:t>
      </w:r>
    </w:p>
    <w:p>
      <w:r>
        <w:br w:type="page"/>
      </w:r>
    </w:p>
    <w:p>
      <w:pPr>
        <w:pStyle w:val="Heading2"/>
      </w:pPr>
      <w:r>
        <w:t>8. Science — The Quasar Holding 140 Trillion Oceans</w:t>
      </w:r>
    </w:p>
    <w:p>
      <w:r>
        <w:rPr>
          <w:b/>
          <w:color w:val="777777"/>
          <w:sz w:val="19"/>
        </w:rPr>
        <w:t xml:space="preserve">Suggested slug: </w:t>
      </w:r>
      <w:r>
        <w:rPr>
          <w:color w:val="777777"/>
          <w:sz w:val="19"/>
        </w:rPr>
        <w:t>/posts/quasar-water-reservoir</w:t>
      </w:r>
    </w:p>
    <w:p>
      <w:r>
        <w:rPr>
          <w:b/>
          <w:color w:val="777777"/>
          <w:sz w:val="19"/>
        </w:rPr>
        <w:t xml:space="preserve">Meta description: </w:t>
      </w:r>
      <w:r>
        <w:rPr>
          <w:color w:val="777777"/>
          <w:sz w:val="19"/>
        </w:rPr>
        <w:t>Twelve billion light-years away, a quasar holds the largest water reservoir ever found — 140 trillion times Earth’s oceans. How astronomers weighed it.</w:t>
      </w:r>
    </w:p>
    <w:p/>
    <w:p>
      <w:r>
        <w:rPr>
          <w:sz w:val="21"/>
        </w:rPr>
        <w:t xml:space="preserve">In 2011, two teams of astronomers announced the largest body of water ever detected: a vapor cloud surrounding the quasar APM 08279+5255, 12 billion light-years away. Its mass equals roughly 140 trillion Earth oceans. The water isn’t liquid — it’s vapor spread across hundreds of light-years, glowing in wavelengths our eyes can’t see — but chemically, it’s H₂O, and there is more of it in that one spot than in every ocean, ice cap, and aquifer here combined. The measurement rests on </w:t>
      </w:r>
      <w:hyperlink r:id="rId9">
        <w:r>
          <w:rPr>
            <w:sz w:val="21"/>
            <w:color w:val="0563C1"/>
            <w:u w:val="single"/>
            <w:rFonts w:ascii="Calibri" w:hAnsi="Calibri"/>
          </w:rPr>
          <w:t>observational data published by the discovery teams</w:t>
        </w:r>
      </w:hyperlink>
      <w:r>
        <w:rPr>
          <w:sz w:val="21"/>
        </w:rPr>
        <w:t xml:space="preserve"> using the Z-Spec instrument.</w:t>
      </w:r>
    </w:p>
    <w:p/>
    <w:p>
      <w:r>
        <w:rPr>
          <w:sz w:val="21"/>
        </w:rPr>
        <w:t xml:space="preserve">Because the quasar’s light has traveled for 12 billion years, we’re seeing water as it existed when the universe was young — evidence that water, the prerequisite for life as we know it, was abundant almost from the start. The find is now </w:t>
      </w:r>
      <w:hyperlink r:id="rId9">
        <w:r>
          <w:rPr>
            <w:sz w:val="21"/>
            <w:color w:val="0563C1"/>
            <w:u w:val="single"/>
            <w:rFonts w:ascii="Calibri" w:hAnsi="Calibri"/>
          </w:rPr>
          <w:t>catalogued in astronomical records</w:t>
        </w:r>
      </w:hyperlink>
      <w:r>
        <w:rPr>
          <w:sz w:val="21"/>
        </w:rPr>
        <w:t xml:space="preserve"> as the record-holder, though astronomers expect bigger reservoirs are out there waiting for better instruments.</w:t>
      </w:r>
    </w:p>
    <w:p/>
    <w:p>
      <w:r>
        <w:rPr>
          <w:i/>
          <w:color w:val="777777"/>
          <w:sz w:val="20"/>
        </w:rPr>
        <w:t>How we know: Bradford et al. (2011) and Lis et al. (2011), based on submillimeter spectroscopy of APM 08279+5255.</w:t>
      </w:r>
    </w:p>
    <w:p>
      <w:r>
        <w:br w:type="page"/>
      </w:r>
    </w:p>
    <w:p>
      <w:pPr>
        <w:pStyle w:val="Heading2"/>
      </w:pPr>
      <w:r>
        <w:t>9. Culture — Scotland’s National Animal Is the Unicorn</w:t>
      </w:r>
    </w:p>
    <w:p>
      <w:r>
        <w:rPr>
          <w:b/>
          <w:color w:val="777777"/>
          <w:sz w:val="19"/>
        </w:rPr>
        <w:t xml:space="preserve">Suggested slug: </w:t>
      </w:r>
      <w:r>
        <w:rPr>
          <w:color w:val="777777"/>
          <w:sz w:val="19"/>
        </w:rPr>
        <w:t>/posts/scotland-national-animal-unicorn</w:t>
      </w:r>
    </w:p>
    <w:p>
      <w:r>
        <w:rPr>
          <w:b/>
          <w:color w:val="777777"/>
          <w:sz w:val="19"/>
        </w:rPr>
        <w:t xml:space="preserve">Meta description: </w:t>
      </w:r>
      <w:r>
        <w:rPr>
          <w:color w:val="777777"/>
          <w:sz w:val="19"/>
        </w:rPr>
        <w:t>Scotland’s national animal never existed. Why the unicorn — and what 15th-century heraldry tells us about national myth-making.</w:t>
      </w:r>
    </w:p>
    <w:p/>
    <w:p>
      <w:r>
        <w:rPr>
          <w:sz w:val="21"/>
        </w:rPr>
        <w:t xml:space="preserve">Scotland’s national animal is the unicorn: a creature that, to the best of our knowledge, never existed. The choice dates to the 1400s, when Scottish kings adopted the unicorn as a symbol of purity, innocence, and untamable power — the one beast the lion, England’s emblem, could never conquer. It still appears on the Royal Coat of Arms of the United Kingdom, chained on the Scottish side. The symbolism is spelled out in </w:t>
      </w:r>
      <w:hyperlink r:id="rId9">
        <w:r>
          <w:rPr>
            <w:sz w:val="21"/>
            <w:color w:val="0563C1"/>
            <w:u w:val="single"/>
            <w:rFonts w:ascii="Calibri" w:hAnsi="Calibri"/>
          </w:rPr>
          <w:t>heraldic records</w:t>
        </w:r>
      </w:hyperlink>
      <w:r>
        <w:rPr>
          <w:sz w:val="21"/>
        </w:rPr>
        <w:t xml:space="preserve"> going back to James III’s gold unicorn coins.</w:t>
      </w:r>
    </w:p>
    <w:p/>
    <w:p>
      <w:r>
        <w:rPr>
          <w:sz w:val="21"/>
        </w:rPr>
        <w:t xml:space="preserve">Medieval bestiaries treated the unicorn as real — a fierce, solitary beast that could only be tamed by a virgin — so to a 15th-century Scot, the emblem was zoology as much as poetry. The unicorn endures on </w:t>
      </w:r>
      <w:hyperlink r:id="rId9">
        <w:r>
          <w:rPr>
            <w:sz w:val="21"/>
            <w:color w:val="0563C1"/>
            <w:u w:val="single"/>
            <w:rFonts w:ascii="Calibri" w:hAnsi="Calibri"/>
          </w:rPr>
          <w:t>documented national symbols</w:t>
        </w:r>
      </w:hyperlink>
      <w:r>
        <w:rPr>
          <w:sz w:val="21"/>
        </w:rPr>
        <w:t xml:space="preserve"> today: passports, government buildings, and the occasional football scarf, a mythical animal doing very real patriotic work.</w:t>
      </w:r>
    </w:p>
    <w:p/>
    <w:p>
      <w:r>
        <w:rPr>
          <w:i/>
          <w:color w:val="777777"/>
          <w:sz w:val="20"/>
        </w:rPr>
        <w:t>How we know: Scottish heraldic rolls, surviving unicorn coinage of James III and James IV, and medieval bestiary manuscripts.</w:t>
      </w:r>
    </w:p>
    <w:p>
      <w:r>
        <w:br w:type="page"/>
      </w:r>
    </w:p>
    <w:p>
      <w:pPr>
        <w:pStyle w:val="Heading2"/>
      </w:pPr>
      <w:r>
        <w:t>10. Culture — Oranges Weren’t Orange — the Color Was Named After the Fruit</w:t>
      </w:r>
    </w:p>
    <w:p>
      <w:r>
        <w:rPr>
          <w:b/>
          <w:color w:val="777777"/>
          <w:sz w:val="19"/>
        </w:rPr>
        <w:t xml:space="preserve">Suggested slug: </w:t>
      </w:r>
      <w:r>
        <w:rPr>
          <w:color w:val="777777"/>
          <w:sz w:val="19"/>
        </w:rPr>
        <w:t>/posts/orange-color-named-after-fruit</w:t>
      </w:r>
    </w:p>
    <w:p>
      <w:r>
        <w:rPr>
          <w:b/>
          <w:color w:val="777777"/>
          <w:sz w:val="19"/>
        </w:rPr>
        <w:t xml:space="preserve">Meta description: </w:t>
      </w:r>
      <w:r>
        <w:rPr>
          <w:color w:val="777777"/>
          <w:sz w:val="19"/>
        </w:rPr>
        <w:t>Before the 1500s, English had no word for the color orange — and the original oranges were green. The etymology and botany behind the name.</w:t>
      </w:r>
    </w:p>
    <w:p/>
    <w:p>
      <w:r>
        <w:rPr>
          <w:sz w:val="21"/>
        </w:rPr>
        <w:t xml:space="preserve">The word ‘orange’ described the fruit centuries before it described the color. The first recorded English use of ‘orange’ for the hue dates to around 1512; before that, English speakers called the color ‘yellow-red’ (ġeolurēad). The fruit arrived first, via Persian nāranj and Arabic nāranj, and the color simply borrowed its name. The trail is clear in </w:t>
      </w:r>
      <w:hyperlink r:id="rId9">
        <w:r>
          <w:rPr>
            <w:sz w:val="21"/>
            <w:color w:val="0563C1"/>
            <w:u w:val="single"/>
            <w:rFonts w:ascii="Calibri" w:hAnsi="Calibri"/>
          </w:rPr>
          <w:t>etymological records</w:t>
        </w:r>
      </w:hyperlink>
      <w:r>
        <w:rPr>
          <w:sz w:val="21"/>
        </w:rPr>
        <w:t xml:space="preserve"> including the Oxford English Dictionary’s dated quotations.</w:t>
      </w:r>
    </w:p>
    <w:p/>
    <w:p>
      <w:r>
        <w:rPr>
          <w:sz w:val="21"/>
        </w:rPr>
        <w:t xml:space="preserve">And the original oranges weren’t orange at all. Wild and early cultivated oranges in Southeast Asia were green — and in tropical regions they still are, because warm nights let chlorophyll linger in the rind. The familiar bright-orange skin is partly a cool-climate effect, partly centuries of selective breeding. It’s all laid out in </w:t>
      </w:r>
      <w:hyperlink r:id="rId9">
        <w:r>
          <w:rPr>
            <w:sz w:val="21"/>
            <w:color w:val="0563C1"/>
            <w:u w:val="single"/>
            <w:rFonts w:ascii="Calibri" w:hAnsi="Calibri"/>
          </w:rPr>
          <w:t>botanical documentation</w:t>
        </w:r>
      </w:hyperlink>
      <w:r>
        <w:rPr>
          <w:sz w:val="21"/>
        </w:rPr>
        <w:t xml:space="preserve"> of citrus cultivation: the fruit named the color, then humans recolored the fruit to match.</w:t>
      </w:r>
    </w:p>
    <w:p/>
    <w:p>
      <w:r>
        <w:rPr>
          <w:i/>
          <w:color w:val="777777"/>
          <w:sz w:val="20"/>
        </w:rPr>
        <w:t>How we know: OED etymology entries for ‘orange’; botanical literature on citrus rind coloration and climate.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D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D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D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ctsled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