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F4E5F"/>
          <w:sz w:val="52"/>
        </w:rPr>
        <w:t>factora Journal — Homepage Content</w:t>
      </w:r>
    </w:p>
    <w:p>
      <w:r>
        <w:rPr>
          <w:color w:val="777777"/>
          <w:sz w:val="22"/>
        </w:rPr>
        <w:t>Complete, original homepage copy for factora-journal-4kc9.vercel.app · written September 19, 2026</w:t>
      </w:r>
    </w:p>
    <w:p>
      <w:r>
        <w:t>All copy below is written from scratch for factora Journal. It is deliberately positioned around “how we know” (the evidence trail behind facts) so it does not overlap with factsledger.com, which documents entities with independent sources. Each block is labeled with its role (eyebrow, H1, body, button, etc.) for easy upload into any CMS or codebase.</w:t>
      </w:r>
    </w:p>
    <w:p>
      <w:pPr>
        <w:pStyle w:val="Heading1"/>
      </w:pPr>
      <w:r>
        <w:t>SEO fields</w:t>
      </w:r>
    </w:p>
    <w:p>
      <w:r>
        <w:rPr>
          <w:b/>
          <w:color w:val="B05E00"/>
          <w:sz w:val="19"/>
        </w:rPr>
        <w:t xml:space="preserve">Title tag: </w:t>
      </w:r>
      <w:r>
        <w:rPr>
          <w:sz w:val="21"/>
        </w:rPr>
        <w:t>factora Journal — How we know what we know</w:t>
      </w:r>
    </w:p>
    <w:p>
      <w:r>
        <w:rPr>
          <w:b/>
          <w:color w:val="B05E00"/>
          <w:sz w:val="19"/>
        </w:rPr>
        <w:t xml:space="preserve">Meta description: </w:t>
      </w:r>
      <w:r>
        <w:rPr>
          <w:sz w:val="21"/>
        </w:rPr>
        <w:t>factora Journal reconstructs the evidence behind remarkable facts — the experiments, accidents, and detective work that turned questions into knowledge.</w:t>
      </w:r>
    </w:p>
    <w:p>
      <w:r>
        <w:rPr>
          <w:b/>
          <w:color w:val="B05E00"/>
          <w:sz w:val="19"/>
        </w:rPr>
        <w:t xml:space="preserve">Suggested URL: </w:t>
      </w:r>
      <w:r>
        <w:rPr>
          <w:sz w:val="21"/>
        </w:rPr>
        <w:t>https://factora-journal-4kc9.vercel.app/</w:t>
      </w:r>
    </w:p>
    <w:p>
      <w:pPr>
        <w:pStyle w:val="Heading1"/>
      </w:pPr>
      <w:r>
        <w:t>1. Header</w:t>
      </w:r>
    </w:p>
    <w:p>
      <w:r>
        <w:rPr>
          <w:b/>
          <w:color w:val="B05E00"/>
          <w:sz w:val="19"/>
        </w:rPr>
        <w:t xml:space="preserve">Logo / brand: </w:t>
      </w:r>
      <w:r>
        <w:rPr>
          <w:sz w:val="21"/>
        </w:rPr>
        <w:t>factora Journal</w:t>
      </w:r>
    </w:p>
    <w:p>
      <w:r>
        <w:rPr>
          <w:b/>
          <w:color w:val="B05E00"/>
          <w:sz w:val="19"/>
        </w:rPr>
        <w:t xml:space="preserve">Nav: </w:t>
      </w:r>
      <w:r>
        <w:rPr>
          <w:sz w:val="21"/>
        </w:rPr>
        <w:t>Latest · Method · Topics · About</w:t>
      </w:r>
    </w:p>
    <w:p>
      <w:r>
        <w:rPr>
          <w:b/>
          <w:color w:val="B05E00"/>
          <w:sz w:val="19"/>
        </w:rPr>
        <w:t xml:space="preserve">Button: </w:t>
      </w:r>
      <w:r>
        <w:rPr>
          <w:sz w:val="21"/>
        </w:rPr>
        <w:t>FactsLedger ↗  — links to https://factsledger.com (opens in a new tab)</w:t>
      </w:r>
    </w:p>
    <w:p>
      <w:pPr>
        <w:pStyle w:val="Heading1"/>
      </w:pPr>
      <w:r>
        <w:t>2. Hero</w:t>
      </w:r>
    </w:p>
    <w:p>
      <w:r>
        <w:rPr>
          <w:b/>
          <w:color w:val="B05E00"/>
          <w:sz w:val="19"/>
        </w:rPr>
        <w:t xml:space="preserve">Eyebrow: </w:t>
      </w:r>
      <w:r>
        <w:rPr>
          <w:sz w:val="21"/>
        </w:rPr>
        <w:t>A journal of evidence</w:t>
      </w:r>
    </w:p>
    <w:p>
      <w:r>
        <w:rPr>
          <w:b/>
          <w:color w:val="B05E00"/>
          <w:sz w:val="19"/>
        </w:rPr>
        <w:t xml:space="preserve">H1: </w:t>
      </w:r>
      <w:r>
        <w:rPr>
          <w:sz w:val="21"/>
        </w:rPr>
        <w:t>Don’t just learn the fact. Learn how we know.</w:t>
      </w:r>
    </w:p>
    <w:p>
      <w:r>
        <w:rPr>
          <w:b/>
          <w:color w:val="B05E00"/>
          <w:sz w:val="19"/>
        </w:rPr>
        <w:t xml:space="preserve">Subheading: </w:t>
      </w:r>
      <w:r>
        <w:rPr>
          <w:sz w:val="21"/>
        </w:rPr>
        <w:t>Every fact was once a question nobody could answer. factora Journal reconstructs the trail — the experiment, the accident, the argument, the dusty archive — that turned a mystery into something we can state with confidence.</w:t>
      </w:r>
    </w:p>
    <w:p>
      <w:r>
        <w:rPr>
          <w:b/>
          <w:color w:val="B05E00"/>
          <w:sz w:val="19"/>
        </w:rPr>
        <w:t xml:space="preserve">Primary button: </w:t>
      </w:r>
      <w:r>
        <w:rPr>
          <w:sz w:val="21"/>
        </w:rPr>
        <w:t>Read the latest</w:t>
      </w:r>
    </w:p>
    <w:p>
      <w:r>
        <w:rPr>
          <w:b/>
          <w:color w:val="B05E00"/>
          <w:sz w:val="19"/>
        </w:rPr>
        <w:t xml:space="preserve">Secondary button: </w:t>
      </w:r>
      <w:r>
        <w:rPr>
          <w:sz w:val="21"/>
        </w:rPr>
        <w:t>Our method</w:t>
      </w:r>
    </w:p>
    <w:p>
      <w:r>
        <w:rPr>
          <w:i/>
          <w:color w:val="777777"/>
          <w:sz w:val="19"/>
        </w:rPr>
        <w:t>Design note: keep the H1 as the single H1 on the page.</w:t>
      </w:r>
    </w:p>
    <w:p>
      <w:pPr>
        <w:pStyle w:val="Heading1"/>
      </w:pPr>
      <w:r>
        <w:t>3. Promise strip (three short statements under the hero)</w:t>
      </w:r>
    </w:p>
    <w:p>
      <w:pPr>
        <w:pStyle w:val="ListBullet"/>
      </w:pPr>
      <w:r>
        <w:t>Every entry shows its evidence.</w:t>
      </w:r>
    </w:p>
    <w:p>
      <w:pPr>
        <w:pStyle w:val="ListBullet"/>
      </w:pPr>
      <w:r>
        <w:t>Written in plain language.</w:t>
      </w:r>
    </w:p>
    <w:p>
      <w:pPr>
        <w:pStyle w:val="ListBullet"/>
      </w:pPr>
      <w:r>
        <w:t>Free to read, forever.</w:t>
      </w:r>
    </w:p>
    <w:p>
      <w:pPr>
        <w:pStyle w:val="Heading1"/>
      </w:pPr>
      <w:r>
        <w:t>4. Latest entries</w:t>
      </w:r>
    </w:p>
    <w:p>
      <w:r>
        <w:rPr>
          <w:b/>
          <w:color w:val="B05E00"/>
          <w:sz w:val="19"/>
        </w:rPr>
        <w:t xml:space="preserve">Eyebrow: </w:t>
      </w:r>
      <w:r>
        <w:rPr>
          <w:sz w:val="21"/>
        </w:rPr>
        <w:t>Fresh from the journal</w:t>
      </w:r>
    </w:p>
    <w:p>
      <w:r>
        <w:rPr>
          <w:b/>
          <w:color w:val="B05E00"/>
          <w:sz w:val="19"/>
        </w:rPr>
        <w:t xml:space="preserve">H2: </w:t>
      </w:r>
      <w:r>
        <w:rPr>
          <w:sz w:val="21"/>
        </w:rPr>
        <w:t>Recent investigations</w:t>
      </w:r>
    </w:p>
    <w:p>
      <w:r>
        <w:rPr>
          <w:b/>
          <w:color w:val="B05E00"/>
          <w:sz w:val="19"/>
        </w:rPr>
        <w:t xml:space="preserve">Intro: </w:t>
      </w:r>
      <w:r>
        <w:rPr>
          <w:sz w:val="21"/>
        </w:rPr>
        <w:t>Four entries, each one starting from a claim and ending at the evidence.</w:t>
      </w:r>
    </w:p>
    <w:p>
      <w:pPr>
        <w:pStyle w:val="Heading2"/>
      </w:pPr>
      <w:r>
        <w:t>History — The officer who refused to end the world</w:t>
      </w:r>
    </w:p>
    <w:p>
      <w:r>
        <w:t>On September 26, 1983, Soviet officer Stanislav Petrov watched his early-warning system report incoming American missiles. Protocol demanded a retaliatory strike. He looked at the data — only five launches, from a brand-new system he didn’t trust — and judged it a false alarm. He did nothing. He was right: a satellite had mistaken sunlight glinting off clouds for missile launches. One person’s refusal to follow procedure is the reason that night stayed ordinary.</w:t>
      </w:r>
    </w:p>
    <w:p>
      <w:r>
        <w:rPr>
          <w:i/>
          <w:color w:val="777777"/>
          <w:sz w:val="20"/>
        </w:rPr>
        <w:t>How we know: declassified Soviet records, Petrov’s own testimony, and later analysis of the satellite’s sun-alignment error.</w:t>
      </w:r>
    </w:p>
    <w:p>
      <w:pPr>
        <w:pStyle w:val="Heading2"/>
      </w:pPr>
      <w:r>
        <w:t>Nature — The town where it rains fish</w:t>
      </w:r>
    </w:p>
    <w:p>
      <w:r>
        <w:t>In Yoro, Honduras, heavy downpours are followed by an impossible sight: small silver fish flapping on the soaked ground. The Lluvia de Peces — the Rain of Fish — has been reported for over a century. Scientists suspect underground rivers flood during storms and flush the fish up through fissures in the rock, but no expedition has ever fully traced their journey. The town, unbothered by the mystery, holds a festival for it every year.</w:t>
      </w:r>
    </w:p>
    <w:p>
      <w:r>
        <w:rPr>
          <w:i/>
          <w:color w:val="777777"/>
          <w:sz w:val="20"/>
        </w:rPr>
        <w:t>How we know: eyewitness accounts going back generations, samples collected by visiting researchers, and hydrological surveys of the region’s cave systems.</w:t>
      </w:r>
    </w:p>
    <w:p>
      <w:pPr>
        <w:pStyle w:val="Heading2"/>
      </w:pPr>
      <w:r>
        <w:t>Time — Cleopatra lived closer to the Moon landing than to the pyramids</w:t>
      </w:r>
    </w:p>
    <w:p>
      <w:r>
        <w:t>The Great Pyramid was completed around 2560 BC. Cleopatra died in 30 BC — roughly two and a half millennia later. The Moon landing happened in 1969, less than sixty years ago. She lived nearer in time to us than to the monument builders of her own country, and the pyramids were already ancient ruins when she was born.</w:t>
      </w:r>
    </w:p>
    <w:p>
      <w:r>
        <w:rPr>
          <w:i/>
          <w:color w:val="777777"/>
          <w:sz w:val="20"/>
        </w:rPr>
        <w:t>How we know: established Egyptian chronology from archaeological and textual records on both ends of the timeline.</w:t>
      </w:r>
    </w:p>
    <w:p>
      <w:pPr>
        <w:pStyle w:val="Heading2"/>
      </w:pPr>
      <w:r>
        <w:t>Science — Sharks are older than Saturn’s rings</w:t>
      </w:r>
    </w:p>
    <w:p>
      <w:r>
        <w:t>Sharks have patrolled the oceans for roughly 450 million years — they predate trees, dinosaurs, and the Atlantic Ocean. Saturn’s rings, by recent estimates from Cassini mission data, are only about 100 million years old: younger than the last dinosaurs. The most iconic feature of the solar system’s most iconic planet is, cosmically speaking, the newcomer.</w:t>
      </w:r>
    </w:p>
    <w:p>
      <w:r>
        <w:rPr>
          <w:i/>
          <w:color w:val="777777"/>
          <w:sz w:val="20"/>
        </w:rPr>
        <w:t>How we know: the fossil record for early sharks; ring-age estimates from Cassini’s measurements of ring mass and purity.</w:t>
      </w:r>
    </w:p>
    <w:p>
      <w:r>
        <w:rPr>
          <w:b/>
          <w:color w:val="B05E00"/>
          <w:sz w:val="19"/>
        </w:rPr>
        <w:t xml:space="preserve">Link under the section: </w:t>
      </w:r>
      <w:r>
        <w:rPr>
          <w:sz w:val="21"/>
        </w:rPr>
        <w:t>For documented entities with independent sources, visit our friends at FactsLedger →  — https://factsledger.com</w:t>
      </w:r>
    </w:p>
    <w:p>
      <w:pPr>
        <w:pStyle w:val="Heading1"/>
      </w:pPr>
      <w:r>
        <w:t>5. Method — how an entry gets made</w:t>
      </w:r>
    </w:p>
    <w:p>
      <w:r>
        <w:rPr>
          <w:b/>
          <w:color w:val="B05E00"/>
          <w:sz w:val="19"/>
        </w:rPr>
        <w:t xml:space="preserve">Eyebrow: </w:t>
      </w:r>
      <w:r>
        <w:rPr>
          <w:sz w:val="21"/>
        </w:rPr>
        <w:t>Our method</w:t>
      </w:r>
    </w:p>
    <w:p>
      <w:r>
        <w:rPr>
          <w:b/>
          <w:color w:val="B05E00"/>
          <w:sz w:val="19"/>
        </w:rPr>
        <w:t xml:space="preserve">H2: </w:t>
      </w:r>
      <w:r>
        <w:rPr>
          <w:sz w:val="21"/>
        </w:rPr>
        <w:t>Every entry follows the same trail</w:t>
      </w:r>
    </w:p>
    <w:p>
      <w:pPr>
        <w:pStyle w:val="ListBullet"/>
      </w:pPr>
      <w:r>
        <w:rPr>
          <w:b/>
        </w:rPr>
        <w:t xml:space="preserve">Start with the claim. </w:t>
      </w:r>
      <w:r>
        <w:t>Each entry begins as a single sentence someone asserted — the bolder, the better.</w:t>
      </w:r>
    </w:p>
    <w:p>
      <w:pPr>
        <w:pStyle w:val="ListBullet"/>
      </w:pPr>
      <w:r>
        <w:rPr>
          <w:b/>
        </w:rPr>
        <w:t xml:space="preserve">Chase the evidence. </w:t>
      </w:r>
      <w:r>
        <w:t>Primary sources, papers, archives, datasets. No fact survives on vibes alone.</w:t>
      </w:r>
    </w:p>
    <w:p>
      <w:pPr>
        <w:pStyle w:val="ListBullet"/>
      </w:pPr>
      <w:r>
        <w:rPr>
          <w:b/>
        </w:rPr>
        <w:t xml:space="preserve">Show the trail. </w:t>
      </w:r>
      <w:r>
        <w:t>Every entry names what it leans on, so you can check our work instead of taking our word for it.</w:t>
      </w:r>
    </w:p>
    <w:p>
      <w:pPr>
        <w:pStyle w:val="ListBullet"/>
      </w:pPr>
      <w:r>
        <w:rPr>
          <w:b/>
        </w:rPr>
        <w:t xml:space="preserve">Write it plain. </w:t>
      </w:r>
      <w:r>
        <w:t>Jargon gets translated or cut. If a curious twelve-year-old can’t follow it, it goes back for a rewrite.</w:t>
      </w:r>
    </w:p>
    <w:p>
      <w:pPr>
        <w:pStyle w:val="Heading1"/>
      </w:pPr>
      <w:r>
        <w:t>6. Topics</w:t>
      </w:r>
    </w:p>
    <w:p>
      <w:r>
        <w:rPr>
          <w:b/>
          <w:color w:val="B05E00"/>
          <w:sz w:val="19"/>
        </w:rPr>
        <w:t xml:space="preserve">Eyebrow: </w:t>
      </w:r>
      <w:r>
        <w:rPr>
          <w:sz w:val="21"/>
        </w:rPr>
        <w:t>Browse by curiosity</w:t>
      </w:r>
    </w:p>
    <w:p>
      <w:r>
        <w:rPr>
          <w:b/>
          <w:color w:val="B05E00"/>
          <w:sz w:val="19"/>
        </w:rPr>
        <w:t xml:space="preserve">H2: </w:t>
      </w:r>
      <w:r>
        <w:rPr>
          <w:sz w:val="21"/>
        </w:rPr>
        <w:t>Six trails to follow</w:t>
      </w:r>
    </w:p>
    <w:p>
      <w:pPr>
        <w:pStyle w:val="ListBullet"/>
      </w:pPr>
      <w:r>
        <w:rPr>
          <w:b/>
        </w:rPr>
        <w:t xml:space="preserve">Evidence trails: </w:t>
      </w:r>
      <w:r>
        <w:t>Step-by-step reconstructions of how a fact was established.</w:t>
      </w:r>
    </w:p>
    <w:p>
      <w:pPr>
        <w:pStyle w:val="ListBullet"/>
      </w:pPr>
      <w:r>
        <w:rPr>
          <w:b/>
        </w:rPr>
        <w:t xml:space="preserve">Experiments: </w:t>
      </w:r>
      <w:r>
        <w:t>The tests, trials, and measurements behind what we know.</w:t>
      </w:r>
    </w:p>
    <w:p>
      <w:pPr>
        <w:pStyle w:val="ListBullet"/>
      </w:pPr>
      <w:r>
        <w:rPr>
          <w:b/>
        </w:rPr>
        <w:t xml:space="preserve">Accidents: </w:t>
      </w:r>
      <w:r>
        <w:t>Discoveries that arrived uninvited — and were recognized anyway.</w:t>
      </w:r>
    </w:p>
    <w:p>
      <w:pPr>
        <w:pStyle w:val="ListBullet"/>
      </w:pPr>
      <w:r>
        <w:rPr>
          <w:b/>
        </w:rPr>
        <w:t xml:space="preserve">Archives: </w:t>
      </w:r>
      <w:r>
        <w:t>What old documents, logs, and records reveal when re-read.</w:t>
      </w:r>
    </w:p>
    <w:p>
      <w:pPr>
        <w:pStyle w:val="ListBullet"/>
      </w:pPr>
      <w:r>
        <w:rPr>
          <w:b/>
        </w:rPr>
        <w:t xml:space="preserve">Debates: </w:t>
      </w:r>
      <w:r>
        <w:t>Where the experts disagreed, and how the argument was settled.</w:t>
      </w:r>
    </w:p>
    <w:p>
      <w:pPr>
        <w:pStyle w:val="ListBullet"/>
      </w:pPr>
      <w:r>
        <w:rPr>
          <w:b/>
        </w:rPr>
        <w:t xml:space="preserve">Field notes: </w:t>
      </w:r>
      <w:r>
        <w:t>Observations from the places where evidence is found.</w:t>
      </w:r>
    </w:p>
    <w:p>
      <w:pPr>
        <w:pStyle w:val="Heading1"/>
      </w:pPr>
      <w:r>
        <w:t>7. Sister publication callout</w:t>
      </w:r>
    </w:p>
    <w:p>
      <w:r>
        <w:rPr>
          <w:b/>
          <w:color w:val="B05E00"/>
          <w:sz w:val="19"/>
        </w:rPr>
        <w:t xml:space="preserve">Eyebrow: </w:t>
      </w:r>
      <w:r>
        <w:rPr>
          <w:sz w:val="21"/>
        </w:rPr>
        <w:t>Keep exploring</w:t>
      </w:r>
    </w:p>
    <w:p>
      <w:r>
        <w:rPr>
          <w:b/>
          <w:color w:val="B05E00"/>
          <w:sz w:val="19"/>
        </w:rPr>
        <w:t xml:space="preserve">H2: </w:t>
      </w:r>
      <w:r>
        <w:rPr>
          <w:sz w:val="21"/>
        </w:rPr>
        <w:t>If you like how we know, you’ll like what is known</w:t>
      </w:r>
    </w:p>
    <w:p>
      <w:r>
        <w:rPr>
          <w:b/>
          <w:color w:val="B05E00"/>
          <w:sz w:val="19"/>
        </w:rPr>
        <w:t xml:space="preserve">Body: </w:t>
      </w:r>
      <w:r>
        <w:rPr>
          <w:sz w:val="21"/>
        </w:rPr>
        <w:t>factora Journal follows the evidence trail. FactsLedger documents the destination: entities, events, and ideas — each one checked against independent sources and given clear context. Two journals, one standard: show your work.</w:t>
      </w:r>
    </w:p>
    <w:p>
      <w:r>
        <w:rPr>
          <w:b/>
          <w:color w:val="B05E00"/>
          <w:sz w:val="19"/>
        </w:rPr>
        <w:t xml:space="preserve">Button: </w:t>
      </w:r>
      <w:r>
        <w:rPr>
          <w:sz w:val="21"/>
        </w:rPr>
        <w:t>Visit FactsLedger →  — https://factsledger.com (opens in a new tab)</w:t>
      </w:r>
    </w:p>
    <w:p>
      <w:pPr>
        <w:pStyle w:val="Heading1"/>
      </w:pPr>
      <w:r>
        <w:t>8. Newsletter</w:t>
      </w:r>
    </w:p>
    <w:p>
      <w:r>
        <w:rPr>
          <w:b/>
          <w:color w:val="B05E00"/>
          <w:sz w:val="19"/>
        </w:rPr>
        <w:t xml:space="preserve">Eyebrow: </w:t>
      </w:r>
      <w:r>
        <w:rPr>
          <w:sz w:val="21"/>
        </w:rPr>
        <w:t>The Evidence File</w:t>
      </w:r>
    </w:p>
    <w:p>
      <w:r>
        <w:rPr>
          <w:b/>
          <w:color w:val="B05E00"/>
          <w:sz w:val="19"/>
        </w:rPr>
        <w:t xml:space="preserve">H2: </w:t>
      </w:r>
      <w:r>
        <w:rPr>
          <w:sz w:val="21"/>
        </w:rPr>
        <w:t>One investigation, every Sunday</w:t>
      </w:r>
    </w:p>
    <w:p>
      <w:r>
        <w:rPr>
          <w:b/>
          <w:color w:val="B05E00"/>
          <w:sz w:val="19"/>
        </w:rPr>
        <w:t xml:space="preserve">Body: </w:t>
      </w:r>
      <w:r>
        <w:rPr>
          <w:sz w:val="21"/>
        </w:rPr>
        <w:t>A single fact, with the full trail of how we know it — in your inbox weekly. No spam, unsubscribe anytime.</w:t>
      </w:r>
    </w:p>
    <w:p>
      <w:r>
        <w:rPr>
          <w:b/>
          <w:color w:val="B05E00"/>
          <w:sz w:val="19"/>
        </w:rPr>
        <w:t xml:space="preserve">Email placeholder: </w:t>
      </w:r>
      <w:r>
        <w:rPr>
          <w:sz w:val="21"/>
        </w:rPr>
        <w:t>you@example.com</w:t>
      </w:r>
    </w:p>
    <w:p>
      <w:r>
        <w:rPr>
          <w:b/>
          <w:color w:val="B05E00"/>
          <w:sz w:val="19"/>
        </w:rPr>
        <w:t xml:space="preserve">Button: </w:t>
      </w:r>
      <w:r>
        <w:rPr>
          <w:sz w:val="21"/>
        </w:rPr>
        <w:t>Subscribe</w:t>
      </w:r>
    </w:p>
    <w:p>
      <w:r>
        <w:rPr>
          <w:i/>
          <w:color w:val="777777"/>
          <w:sz w:val="19"/>
        </w:rPr>
        <w:t>Technical note: connect the form to a real provider (e.g. Buttondown, ConvertKit) before launch.</w:t>
      </w:r>
    </w:p>
    <w:p>
      <w:pPr>
        <w:pStyle w:val="Heading1"/>
      </w:pPr>
      <w:r>
        <w:t>9. Footer</w:t>
      </w:r>
    </w:p>
    <w:p>
      <w:r>
        <w:rPr>
          <w:b/>
          <w:color w:val="B05E00"/>
          <w:sz w:val="19"/>
        </w:rPr>
        <w:t xml:space="preserve">Brand line: </w:t>
      </w:r>
      <w:r>
        <w:rPr>
          <w:sz w:val="21"/>
        </w:rPr>
        <w:t>factora Journal — How we know what we know.</w:t>
      </w:r>
    </w:p>
    <w:p>
      <w:r>
        <w:rPr>
          <w:b/>
          <w:color w:val="B05E00"/>
          <w:sz w:val="19"/>
        </w:rPr>
        <w:t xml:space="preserve">Nav: </w:t>
      </w:r>
      <w:r>
        <w:rPr>
          <w:sz w:val="21"/>
        </w:rPr>
        <w:t>Latest · Method · Topics · About · FactsLedger ↗ (https://factsledger.com)</w:t>
      </w:r>
    </w:p>
    <w:p>
      <w:r>
        <w:rPr>
          <w:b/>
          <w:color w:val="B05E00"/>
          <w:sz w:val="19"/>
        </w:rPr>
        <w:t xml:space="preserve">Copyright: </w:t>
      </w:r>
      <w:r>
        <w:rPr>
          <w:sz w:val="21"/>
        </w:rPr>
        <w:t>© 2026 factora Journal. All entries show their evidence.</w:t>
      </w:r>
    </w:p>
    <w:p>
      <w:pPr>
        <w:pStyle w:val="Heading1"/>
      </w:pPr>
      <w:r>
        <w:t>Upload notes</w:t>
      </w:r>
    </w:p>
    <w:p>
      <w:pPr>
        <w:pStyle w:val="ListBullet"/>
      </w:pPr>
      <w:r>
        <w:t>All copy is original and written to avoid overlapping factsledger.com. The positioning (“how we know” vs. FactsLedger’s “what is known”) keeps the two sites complementary rather than duplicative.</w:t>
      </w:r>
    </w:p>
    <w:p>
      <w:pPr>
        <w:pStyle w:val="ListBullet"/>
      </w:pPr>
      <w:r>
        <w:t>Links to https://factsledger.com appear in the header, under Latest entries, in the sister-publication callout, and in the footer. All should open in a new tab (target="_blank" rel="noopener").</w:t>
      </w:r>
    </w:p>
    <w:p>
      <w:pPr>
        <w:pStyle w:val="ListBullet"/>
      </w:pPr>
      <w:r>
        <w:t>Keep exactly one H1 (the hero headline). Section headlines should be H2, entry titles H3.</w:t>
      </w:r>
    </w:p>
    <w:p>
      <w:pPr>
        <w:pStyle w:val="ListBullet"/>
      </w:pPr>
      <w:r>
        <w:t>Add a unique meta description per future entry page (never reuse the homepage description).</w:t>
      </w:r>
    </w:p>
    <w:p>
      <w:pPr>
        <w:pStyle w:val="ListBullet"/>
      </w:pPr>
      <w:r>
        <w:t>If this deployment is staging for a production domain, add a canonical tag or noindex until the domain decision is final.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5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4E5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4E5F"/>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