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5B286" w14:textId="3460E74C" w:rsidR="005C61F3" w:rsidRPr="005C61F3" w:rsidRDefault="005C61F3" w:rsidP="00451583">
      <w:pPr>
        <w:keepNext w:val="0"/>
        <w:keepLines w:val="0"/>
        <w:widowControl w:val="0"/>
        <w:spacing w:before="0" w:after="0"/>
        <w:ind w:left="0" w:right="0" w:firstLine="0"/>
        <w:jc w:val="left"/>
        <w:rPr>
          <w:bCs/>
          <w:sz w:val="36"/>
          <w:szCs w:val="36"/>
        </w:rPr>
      </w:pPr>
      <w:proofErr w:type="gramStart"/>
      <w:r w:rsidRPr="00FB2C64">
        <w:rPr>
          <w:rFonts w:ascii="Minion Pro" w:hAnsi="Minion Pro"/>
          <w:i w:val="0"/>
          <w:color w:val="000000"/>
          <w:sz w:val="14"/>
          <w:u w:val="none"/>
        </w:rPr>
        <w:t>Doi:10.32604/cmc.202</w:t>
      </w:r>
      <w:r>
        <w:rPr>
          <w:rFonts w:hint="eastAsia" w:ascii="Minion Pro" w:hAnsi="Minion Pro"/>
          <w:i w:val="0"/>
          <w:color w:val="000000"/>
          <w:sz w:val="14"/>
          <w:u w:val="none"/>
        </w:rPr>
        <w:t>5</w:t>
      </w:r>
      <w:r w:rsidRPr="00FB2C64">
        <w:rPr>
          <w:rFonts w:ascii="Minion Pro" w:hAnsi="Minion Pro"/>
          <w:i w:val="0"/>
          <w:color w:val="000000"/>
          <w:sz w:val="14"/>
          <w:u w:val="none"/>
        </w:rPr>
        <w:t>.0xxxxx</w:t>
      </w:r>
      <w:proofErr w:type="gramEnd"/>
    </w:p>
    <w:p w14:paraId="0DB65E04" w14:textId="52762A68" w:rsidR="00451583" w:rsidRDefault="00451583" w:rsidP="00451583">
      <w:pPr>
        <w:keepNext w:val="0"/>
        <w:keepLines w:val="0"/>
        <w:widowControl w:val="0"/>
        <w:spacing w:before="0" w:after="0"/>
        <w:ind w:left="0" w:right="0" w:firstLine="0"/>
        <w:jc w:val="left"/>
        <w:rPr>
          <w:b/>
          <w:sz w:val="36"/>
          <w:szCs w:val="36"/>
        </w:rPr>
      </w:pPr>
      <w:r w:rsidRPr="00451583">
        <w:rPr>
          <w:rFonts w:ascii="Minion Pro" w:hAnsi="Minion Pro"/>
          <w:b/>
          <w:i w:val="0"/>
          <w:color w:val="000000"/>
          <w:sz w:val="24"/>
          <w:szCs w:val="36"/>
          <w:u w:val="none"/>
        </w:rPr>
        <w:t>Machine Learning Based Prediction of Osteoporosis in Postmenopausal Women with Clinical Examined Features</w:t>
      </w:r>
    </w:p>
    <w:p w14:paraId="2841701A" w14:textId="77777777" w:rsidR="00451583" w:rsidRPr="00451583" w:rsidRDefault="00451583" w:rsidP="00451583">
      <w:pPr>
        <w:keepNext w:val="0"/>
        <w:keepLines w:val="0"/>
        <w:widowControl w:val="0"/>
        <w:spacing w:before="0" w:after="0"/>
        <w:ind w:left="0" w:right="0" w:firstLine="0"/>
        <w:jc w:val="both"/>
        <w:rPr>
          <w:b/>
          <w:sz w:val="36"/>
          <w:szCs w:val="36"/>
        </w:rPr>
      </w:pPr>
    </w:p>
    <w:p w14:paraId="71766303" w14:textId="77777777" w:rsidR="00E23453" w:rsidRPr="00451583" w:rsidRDefault="00451583" w:rsidP="008C1DD6">
      <w:pPr>
        <w:keepNext w:val="0"/>
        <w:keepLines w:val="0"/>
        <w:widowControl w:val="0"/>
        <w:autoSpaceDE w:val="0"/>
        <w:autoSpaceDN w:val="0"/>
        <w:adjustRightInd w:val="0"/>
        <w:spacing w:before="0" w:after="0"/>
        <w:ind w:left="0" w:right="0" w:firstLine="0"/>
        <w:jc w:val="both"/>
        <w:rPr>
          <w:rFonts w:cs="Calibri"/>
          <w:b/>
          <w:sz w:val="22"/>
          <w:szCs w:val="22"/>
        </w:rPr>
      </w:pPr>
      <w:r w:rsidRPr="00451583">
        <w:rPr>
          <w:rFonts w:ascii="Minion Pro" w:hAnsi="Minion Pro"/>
          <w:b/>
          <w:i w:val="0"/>
          <w:color w:val="000000"/>
          <w:sz w:val="20"/>
          <w:szCs w:val="22"/>
          <w:u w:val="none"/>
        </w:rPr>
        <w:t>Kainat Azmat Ullah</w:t>
      </w:r>
      <w:r w:rsidRPr="00451583">
        <w:rPr>
          <w:rFonts w:ascii="Minion Pro" w:hAnsi="Minion Pro"/>
          <w:b/>
          <w:i w:val="0"/>
          <w:color w:val="000000"/>
          <w:sz w:val="20"/>
          <w:szCs w:val="22"/>
          <w:u w:val="none"/>
          <w:vertAlign w:val="superscript"/>
        </w:rPr>
        <w:t>1</w:t>
      </w:r>
      <w:r w:rsidRPr="00451583">
        <w:rPr>
          <w:rFonts w:ascii="Minion Pro" w:hAnsi="Minion Pro"/>
          <w:b/>
          <w:i w:val="0"/>
          <w:color w:val="000000"/>
          <w:sz w:val="20"/>
          <w:szCs w:val="22"/>
          <w:u w:val="none"/>
        </w:rPr>
        <w:t>, Faisal Rehman</w:t>
      </w:r>
      <w:r w:rsidRPr="00451583">
        <w:rPr>
          <w:rFonts w:ascii="Minion Pro" w:hAnsi="Minion Pro"/>
          <w:b/>
          <w:i w:val="0"/>
          <w:color w:val="000000"/>
          <w:sz w:val="20"/>
          <w:szCs w:val="22"/>
          <w:u w:val="none"/>
          <w:vertAlign w:val="superscript"/>
        </w:rPr>
        <w:t>1, 2</w:t>
      </w:r>
      <w:r w:rsidRPr="00451583">
        <w:rPr>
          <w:rFonts w:ascii="Minion Pro" w:hAnsi="Minion Pro"/>
          <w:b/>
          <w:i w:val="0"/>
          <w:color w:val="000000"/>
          <w:sz w:val="20"/>
          <w:szCs w:val="22"/>
          <w:u w:val="none"/>
        </w:rPr>
        <w:t>,</w:t>
      </w:r>
      <w:r w:rsidR="008C1DD6">
        <w:rPr>
          <w:rFonts w:ascii="Minion Pro" w:hAnsi="Minion Pro"/>
          <w:b/>
          <w:i w:val="0"/>
          <w:color w:val="000000"/>
          <w:sz w:val="20"/>
          <w:szCs w:val="22"/>
          <w:u w:val="none"/>
        </w:rPr>
        <w:t>Muhammad Anwar</w:t>
      </w:r>
      <w:r w:rsidR="008C1DD6" w:rsidRPr="008C1DD6">
        <w:rPr>
          <w:rFonts w:ascii="Minion Pro" w:hAnsi="Minion Pro"/>
          <w:b/>
          <w:i w:val="0"/>
          <w:color w:val="000000"/>
          <w:sz w:val="20"/>
          <w:szCs w:val="22"/>
          <w:u w:val="none"/>
          <w:vertAlign w:val="superscript"/>
        </w:rPr>
        <w:t>3</w:t>
      </w:r>
      <w:r w:rsidR="008C1DD6">
        <w:rPr>
          <w:rFonts w:ascii="Minion Pro" w:hAnsi="Minion Pro"/>
          <w:b/>
          <w:i w:val="0"/>
          <w:color w:val="000000"/>
          <w:sz w:val="20"/>
          <w:szCs w:val="22"/>
          <w:u w:val="none"/>
        </w:rPr>
        <w:t>, Muhammad Faheem</w:t>
      </w:r>
      <w:r w:rsidR="008C1DD6" w:rsidRPr="008C1DD6">
        <w:rPr>
          <w:rFonts w:ascii="Minion Pro" w:hAnsi="Minion Pro"/>
          <w:b/>
          <w:i w:val="0"/>
          <w:color w:val="000000"/>
          <w:sz w:val="20"/>
          <w:szCs w:val="22"/>
          <w:u w:val="none"/>
          <w:vertAlign w:val="superscript"/>
        </w:rPr>
        <w:t>4</w:t>
      </w:r>
      <w:r w:rsidR="008C1DD6">
        <w:rPr>
          <w:rFonts w:ascii="Minion Pro" w:hAnsi="Minion Pro"/>
          <w:b/>
          <w:i w:val="0"/>
          <w:color w:val="000000"/>
          <w:sz w:val="20"/>
          <w:szCs w:val="22"/>
          <w:u w:val="none"/>
        </w:rPr>
        <w:t>,</w:t>
      </w:r>
      <w:r w:rsidRPr="00451583">
        <w:rPr>
          <w:rFonts w:ascii="Minion Pro" w:hAnsi="Minion Pro"/>
          <w:b/>
          <w:i w:val="0"/>
          <w:color w:val="000000"/>
          <w:sz w:val="20"/>
          <w:szCs w:val="22"/>
          <w:u w:val="none"/>
        </w:rPr>
        <w:t>Naveed Riaz</w:t>
      </w:r>
      <w:r w:rsidR="008C1DD6">
        <w:rPr>
          <w:rFonts w:ascii="Minion Pro" w:hAnsi="Minion Pro"/>
          <w:b/>
          <w:i w:val="0"/>
          <w:color w:val="000000"/>
          <w:sz w:val="20"/>
          <w:szCs w:val="22"/>
          <w:u w:val="none"/>
          <w:vertAlign w:val="superscript"/>
        </w:rPr>
        <w:t>5</w:t>
      </w:r>
    </w:p>
    <w:p w14:paraId="65C16259" w14:textId="77777777" w:rsidR="00451583" w:rsidRPr="00451583" w:rsidRDefault="00451583" w:rsidP="00451583">
      <w:pPr>
        <w:keepNext w:val="0"/>
        <w:keepLines w:val="0"/>
        <w:widowControl w:val="0"/>
        <w:spacing w:before="0" w:after="0"/>
        <w:ind w:left="0" w:right="0" w:firstLine="0"/>
        <w:jc w:val="both"/>
        <w:rPr>
          <w:i/>
          <w:sz w:val="18"/>
          <w:szCs w:val="18"/>
        </w:rPr>
      </w:pPr>
      <w:r w:rsidRPr="00451583">
        <w:rPr>
          <w:rFonts w:ascii="Minion Pro" w:hAnsi="Minion Pro"/>
          <w:i w:val="0"/>
          <w:color w:val="000000"/>
          <w:sz w:val="20"/>
          <w:szCs w:val="18"/>
          <w:u w:val="none"/>
          <w:vertAlign w:val="superscript"/>
        </w:rPr>
        <w:t>1</w:t>
      </w:r>
      <w:r w:rsidRPr="00451583">
        <w:rPr>
          <w:rFonts w:ascii="Minion Pro" w:hAnsi="Minion Pro"/>
          <w:i w:val="0"/>
          <w:color w:val="000000"/>
          <w:sz w:val="20"/>
          <w:szCs w:val="18"/>
          <w:u w:val="none"/>
        </w:rPr>
        <w:t>Department of Computer Science and Information Technology, Lahore Leads University, Lahore, Pakistan</w:t>
      </w:r>
    </w:p>
    <w:p w14:paraId="46E6DEB4" w14:textId="77777777" w:rsidR="008C1DD6" w:rsidRDefault="00451583" w:rsidP="008C1DD6">
      <w:pPr>
        <w:keepNext w:val="0"/>
        <w:keepLines w:val="0"/>
        <w:widowControl w:val="0"/>
        <w:spacing w:before="0" w:after="0"/>
        <w:ind w:left="0" w:right="0" w:firstLine="0"/>
        <w:jc w:val="both"/>
        <w:rPr>
          <w:i/>
          <w:sz w:val="18"/>
          <w:szCs w:val="18"/>
        </w:rPr>
      </w:pPr>
      <w:r w:rsidRPr="00451583">
        <w:rPr>
          <w:rFonts w:ascii="Minion Pro" w:hAnsi="Minion Pro"/>
          <w:i w:val="0"/>
          <w:color w:val="000000"/>
          <w:sz w:val="20"/>
          <w:szCs w:val="18"/>
          <w:u w:val="none"/>
          <w:vertAlign w:val="superscript"/>
        </w:rPr>
        <w:t>2</w:t>
      </w:r>
      <w:r w:rsidRPr="00451583">
        <w:rPr>
          <w:rFonts w:ascii="Minion Pro" w:hAnsi="Minion Pro"/>
          <w:i w:val="0"/>
          <w:color w:val="000000"/>
          <w:sz w:val="20"/>
          <w:szCs w:val="18"/>
          <w:u w:val="none"/>
        </w:rPr>
        <w:t>Department of Statistics and Data Science, University of</w:t>
      </w:r>
      <w:proofErr w:type="spellStart"/>
      <w:r w:rsidRPr="00451583">
        <w:rPr>
          <w:rFonts w:ascii="Minion Pro" w:hAnsi="Minion Pro"/>
          <w:i w:val="0"/>
          <w:color w:val="000000"/>
          <w:sz w:val="20"/>
          <w:szCs w:val="18"/>
          <w:u w:val="none"/>
        </w:rPr>
        <w:t>Mianwali</w:t>
      </w:r>
      <w:proofErr w:type="spellEnd"/>
      <w:r w:rsidRPr="00451583">
        <w:rPr>
          <w:rFonts w:ascii="Minion Pro" w:hAnsi="Minion Pro"/>
          <w:i w:val="0"/>
          <w:color w:val="000000"/>
          <w:sz w:val="20"/>
          <w:szCs w:val="18"/>
          <w:u w:val="none"/>
        </w:rPr>
        <w:t>,</w:t>
      </w:r>
      <w:proofErr w:type="spellStart"/>
      <w:r w:rsidRPr="00451583">
        <w:rPr>
          <w:rFonts w:ascii="Minion Pro" w:hAnsi="Minion Pro"/>
          <w:i w:val="0"/>
          <w:color w:val="000000"/>
          <w:sz w:val="20"/>
          <w:szCs w:val="18"/>
          <w:u w:val="none"/>
        </w:rPr>
        <w:t>Mianwali</w:t>
      </w:r>
      <w:proofErr w:type="spellEnd"/>
      <w:r w:rsidRPr="00451583">
        <w:rPr>
          <w:rFonts w:ascii="Minion Pro" w:hAnsi="Minion Pro"/>
          <w:i w:val="0"/>
          <w:color w:val="000000"/>
          <w:sz w:val="20"/>
          <w:szCs w:val="18"/>
          <w:u w:val="none"/>
        </w:rPr>
        <w:t>, Pakistan</w:t>
      </w:r>
    </w:p>
    <w:p w14:paraId="21FA6839" w14:textId="77777777" w:rsidR="008C1DD6" w:rsidRPr="00A67063" w:rsidRDefault="008C1DD6" w:rsidP="008C1DD6">
      <w:pPr>
        <w:keepNext w:val="0"/>
        <w:keepLines w:val="0"/>
        <w:widowControl w:val="0"/>
        <w:tabs>
          <w:tab w:val="left" w:pos="187"/>
        </w:tabs>
        <w:snapToGrid w:val="0"/>
        <w:spacing w:before="0" w:after="0"/>
        <w:ind w:left="0" w:right="0" w:firstLine="0"/>
        <w:jc w:val="both"/>
        <w:rPr>
          <w:sz w:val="18"/>
          <w:szCs w:val="18"/>
        </w:rPr>
      </w:pPr>
      <w:r w:rsidRPr="00A67063">
        <w:rPr>
          <w:rFonts w:ascii="Minion Pro" w:hAnsi="Minion Pro"/>
          <w:i w:val="0"/>
          <w:color w:val="000000"/>
          <w:sz w:val="20"/>
          <w:szCs w:val="18"/>
          <w:u w:val="none"/>
          <w:vertAlign w:val="superscript"/>
        </w:rPr>
        <w:t>3</w:t>
      </w:r>
      <w:r w:rsidRPr="00A67063">
        <w:rPr>
          <w:rFonts w:ascii="Minion Pro" w:hAnsi="Minion Pro"/>
          <w:i w:val="0"/>
          <w:color w:val="000000"/>
          <w:sz w:val="20"/>
          <w:szCs w:val="18"/>
          <w:u w:val="none"/>
        </w:rPr>
        <w:t>Department of Information Sciences, Division of Science and Technology, University of Education, Lahore, Pakistan</w:t>
      </w:r>
    </w:p>
    <w:p w14:paraId="1E7D1B77" w14:textId="77777777" w:rsidR="008C1DD6" w:rsidRDefault="008C1DD6" w:rsidP="008C1DD6">
      <w:pPr>
        <w:keepNext w:val="0"/>
        <w:keepLines w:val="0"/>
        <w:widowControl w:val="0"/>
        <w:tabs>
          <w:tab w:val="left" w:pos="187"/>
        </w:tabs>
        <w:snapToGrid w:val="0"/>
        <w:spacing w:before="0" w:after="0"/>
        <w:ind w:left="0" w:right="0" w:firstLine="0"/>
        <w:jc w:val="both"/>
        <w:rPr>
          <w:sz w:val="18"/>
          <w:szCs w:val="18"/>
        </w:rPr>
      </w:pPr>
      <w:r>
        <w:rPr>
          <w:rFonts w:ascii="Minion Pro" w:hAnsi="Minion Pro"/>
          <w:i w:val="0"/>
          <w:color w:val="000000"/>
          <w:sz w:val="20"/>
          <w:szCs w:val="18"/>
          <w:u w:val="none"/>
          <w:vertAlign w:val="superscript"/>
        </w:rPr>
        <w:t>4</w:t>
      </w:r>
      <w:r w:rsidRPr="00A67063">
        <w:rPr>
          <w:rFonts w:ascii="Minion Pro" w:hAnsi="Minion Pro"/>
          <w:i w:val="0"/>
          <w:color w:val="000000"/>
          <w:sz w:val="20"/>
          <w:szCs w:val="18"/>
          <w:u w:val="none"/>
        </w:rPr>
        <w:t>Department of Computing (Innovations &amp; Technology), University of Vaasa, Vaasa 65200, Finland</w:t>
      </w:r>
    </w:p>
    <w:p w14:paraId="40936605" w14:textId="77777777" w:rsidR="008C1DD6" w:rsidRPr="00451583" w:rsidRDefault="008C1DD6" w:rsidP="008C1DD6">
      <w:pPr>
        <w:keepNext w:val="0"/>
        <w:keepLines w:val="0"/>
        <w:widowControl w:val="0"/>
        <w:spacing w:before="0" w:after="0"/>
        <w:ind w:left="0" w:right="0" w:firstLine="0"/>
        <w:jc w:val="both"/>
        <w:rPr>
          <w:i/>
          <w:sz w:val="18"/>
          <w:szCs w:val="18"/>
        </w:rPr>
      </w:pPr>
      <w:r w:rsidRPr="008C1DD6">
        <w:rPr>
          <w:rFonts w:ascii="Minion Pro" w:hAnsi="Minion Pro"/>
          <w:i w:val="0"/>
          <w:color w:val="000000"/>
          <w:sz w:val="20"/>
          <w:szCs w:val="18"/>
          <w:u w:val="none"/>
          <w:vertAlign w:val="superscript"/>
        </w:rPr>
        <w:t>5</w:t>
      </w:r>
      <w:r w:rsidRPr="00451583">
        <w:rPr>
          <w:rFonts w:ascii="Minion Pro" w:hAnsi="Minion Pro"/>
          <w:i w:val="0"/>
          <w:color w:val="000000"/>
          <w:sz w:val="20"/>
          <w:szCs w:val="18"/>
          <w:u w:val="none"/>
        </w:rPr>
        <w:t>National University of Sciences &amp; Technology, NUST Islamabad, Pakistan</w:t>
      </w:r>
    </w:p>
    <w:p w14:paraId="71BD93B9" w14:textId="77777777" w:rsidR="008C1DD6" w:rsidRPr="00A67063" w:rsidRDefault="008C1DD6" w:rsidP="008C1DD6">
      <w:pPr>
        <w:keepNext w:val="0"/>
        <w:keepLines w:val="0"/>
        <w:widowControl w:val="0"/>
        <w:tabs>
          <w:tab w:val="left" w:pos="187"/>
        </w:tabs>
        <w:snapToGrid w:val="0"/>
        <w:spacing w:before="0" w:after="0"/>
        <w:ind w:left="0" w:right="0" w:firstLine="0"/>
        <w:jc w:val="both"/>
        <w:rPr>
          <w:sz w:val="18"/>
          <w:szCs w:val="18"/>
        </w:rPr>
      </w:pPr>
    </w:p>
    <w:p w14:paraId="10D90C1B" w14:textId="77777777" w:rsidR="008C1DD6" w:rsidRPr="00A67063" w:rsidRDefault="008C1DD6" w:rsidP="008C1DD6">
      <w:pPr>
        <w:keepNext w:val="0"/>
        <w:keepLines w:val="0"/>
        <w:widowControl w:val="0"/>
        <w:tabs>
          <w:tab w:val="left" w:pos="187"/>
        </w:tabs>
        <w:snapToGrid w:val="0"/>
        <w:spacing w:before="0" w:after="0"/>
        <w:ind w:left="0" w:right="0" w:firstLine="0"/>
        <w:jc w:val="both"/>
        <w:rPr>
          <w:sz w:val="18"/>
          <w:szCs w:val="18"/>
        </w:rPr>
      </w:pPr>
      <w:r w:rsidRPr="00A67063">
        <w:rPr>
          <w:rFonts w:ascii="Minion Pro" w:hAnsi="Minion Pro"/>
          <w:i w:val="0"/>
          <w:color w:val="000000"/>
          <w:sz w:val="20"/>
          <w:szCs w:val="18"/>
          <w:u w:val="none"/>
        </w:rPr>
        <w:t>*Corresponding author: Muhammad Faheem (e-mail: muhammad.faheem@uwasa.fi)</w:t>
      </w:r>
    </w:p>
    <w:p w14:paraId="71B230DC" w14:textId="77777777" w:rsidR="00451583" w:rsidRPr="00451583" w:rsidRDefault="00451583" w:rsidP="008C1DD6">
      <w:pPr>
        <w:keepNext w:val="0"/>
        <w:keepLines w:val="0"/>
        <w:widowControl w:val="0"/>
        <w:spacing w:before="0" w:after="0"/>
        <w:ind w:left="0" w:right="0" w:firstLine="0"/>
        <w:jc w:val="both"/>
        <w:rPr>
          <w:i/>
          <w:sz w:val="18"/>
          <w:szCs w:val="18"/>
        </w:rPr>
      </w:pPr>
    </w:p>
    <w:p w14:paraId="5C096BF2" w14:textId="77777777" w:rsidR="00451583" w:rsidRPr="00451583" w:rsidRDefault="00451583" w:rsidP="00451583">
      <w:pPr>
        <w:keepNext w:val="0"/>
        <w:keepLines w:val="0"/>
        <w:widowControl w:val="0"/>
        <w:spacing w:before="0" w:after="0"/>
        <w:ind w:left="0" w:right="0" w:firstLine="0"/>
        <w:jc w:val="both"/>
        <w:rPr>
          <w:i/>
          <w:sz w:val="18"/>
          <w:szCs w:val="18"/>
        </w:rPr>
      </w:pPr>
    </w:p>
    <w:p w14:paraId="707EFED9" w14:textId="77777777" w:rsidR="00451583" w:rsidRPr="00AD2AFF" w:rsidRDefault="00AD38A4" w:rsidP="00451583">
      <w:pPr>
        <w:pStyle w:val="IJASEITAbtract"/>
        <w:keepNext w:val="0"/>
        <w:keepLines w:val="0"/>
        <w:widowControl w:val="0"/>
        <w:spacing w:before="0" w:after="0"/>
        <w:ind w:left="0" w:right="0" w:firstLine="0"/>
        <w:jc w:val="both"/>
        <w:rPr>
          <w:rFonts w:ascii="Arial" w:hAnsi="Arial" w:cs="Arial"/>
        </w:rPr>
      </w:pPr>
      <w:r>
        <w:rPr>
          <w:rFonts w:ascii="Minion Pro" w:hAnsi="Minion Pro"/>
          <w:b/>
          <w:sz w:val="20"/>
        </w:rPr>
        <w:t>ABSTRACT</w:t>
      </w:r>
      <w:r>
        <w:rPr>
          <w:rFonts w:ascii="Minion Pro" w:hAnsi="Minion Pro"/>
          <w:b w:val="0"/>
          <w:sz w:val="20"/>
        </w:rPr>
        <w:t>:</w:t>
      </w:r>
      <w:r>
        <w:rPr>
          <w:rFonts w:ascii="Minion Pro" w:hAnsi="Minion Pro"/>
          <w:b w:val="0"/>
          <w:sz w:val="20"/>
        </w:rPr>
      </w:r>
      <w:r>
        <w:rPr>
          <w:rFonts w:ascii="Minion Pro" w:hAnsi="Minion Pro"/>
          <w:b w:val="0"/>
          <w:sz w:val="20"/>
        </w:rPr>
        <w:t>Osteoporosis</w:t>
      </w:r>
      <w:r>
        <w:rPr>
          <w:rFonts w:ascii="Minion Pro" w:hAnsi="Minion Pro"/>
          <w:b w:val="0"/>
          <w:sz w:val="20"/>
        </w:rPr>
        <w:t xml:space="preserve"> </w:t>
      </w:r>
      <w:r>
        <w:rPr>
          <w:rFonts w:ascii="Minion Pro" w:hAnsi="Minion Pro"/>
          <w:b w:val="0"/>
          <w:sz w:val="20"/>
        </w:rPr>
        <w:t>is</w:t>
      </w:r>
      <w:r>
        <w:rPr>
          <w:rFonts w:ascii="Minion Pro" w:hAnsi="Minion Pro"/>
          <w:b w:val="0"/>
          <w:sz w:val="20"/>
        </w:rPr>
        <w:t xml:space="preserve"> </w:t>
      </w:r>
      <w:r>
        <w:rPr>
          <w:rFonts w:ascii="Minion Pro" w:hAnsi="Minion Pro"/>
          <w:b w:val="0"/>
          <w:sz w:val="20"/>
        </w:rPr>
        <w:t>a</w:t>
      </w:r>
      <w:r>
        <w:rPr>
          <w:rFonts w:ascii="Minion Pro" w:hAnsi="Minion Pro"/>
          <w:b w:val="0"/>
          <w:sz w:val="20"/>
        </w:rPr>
        <w:t xml:space="preserve"> </w:t>
      </w:r>
      <w:r>
        <w:rPr>
          <w:rFonts w:ascii="Minion Pro" w:hAnsi="Minion Pro"/>
          <w:b w:val="0"/>
          <w:sz w:val="20"/>
        </w:rPr>
        <w:t>skeletal</w:t>
      </w:r>
      <w:r>
        <w:rPr>
          <w:rFonts w:ascii="Minion Pro" w:hAnsi="Minion Pro"/>
          <w:b w:val="0"/>
          <w:sz w:val="20"/>
        </w:rPr>
        <w:t xml:space="preserve"> </w:t>
      </w:r>
      <w:r>
        <w:rPr>
          <w:rFonts w:ascii="Minion Pro" w:hAnsi="Minion Pro"/>
          <w:b w:val="0"/>
          <w:sz w:val="20"/>
        </w:rPr>
        <w:t>disease</w:t>
      </w:r>
      <w:r>
        <w:rPr>
          <w:rFonts w:ascii="Minion Pro" w:hAnsi="Minion Pro"/>
          <w:b w:val="0"/>
          <w:sz w:val="20"/>
        </w:rPr>
        <w:t xml:space="preserve"> </w:t>
      </w:r>
      <w:r>
        <w:rPr>
          <w:rFonts w:ascii="Minion Pro" w:hAnsi="Minion Pro"/>
          <w:b w:val="0"/>
          <w:sz w:val="20"/>
        </w:rPr>
        <w:t>that</w:t>
      </w:r>
      <w:r>
        <w:rPr>
          <w:rFonts w:ascii="Minion Pro" w:hAnsi="Minion Pro"/>
          <w:b w:val="0"/>
          <w:sz w:val="20"/>
        </w:rPr>
        <w:t xml:space="preserve"> </w:t>
      </w:r>
      <w:r>
        <w:rPr>
          <w:rFonts w:ascii="Minion Pro" w:hAnsi="Minion Pro"/>
          <w:b w:val="0"/>
          <w:sz w:val="20"/>
        </w:rPr>
        <w:t>is</w:t>
      </w:r>
      <w:r>
        <w:rPr>
          <w:rFonts w:ascii="Minion Pro" w:hAnsi="Minion Pro"/>
          <w:b w:val="0"/>
          <w:sz w:val="20"/>
        </w:rPr>
        <w:t xml:space="preserve"> </w:t>
      </w:r>
      <w:r>
        <w:rPr>
          <w:rFonts w:ascii="Minion Pro" w:hAnsi="Minion Pro"/>
          <w:b w:val="0"/>
          <w:sz w:val="20"/>
        </w:rPr>
        <w:t>commonly</w:t>
      </w:r>
      <w:r>
        <w:rPr>
          <w:rFonts w:ascii="Minion Pro" w:hAnsi="Minion Pro"/>
          <w:b w:val="0"/>
          <w:sz w:val="20"/>
        </w:rPr>
        <w:t xml:space="preserve"> </w:t>
      </w:r>
      <w:r>
        <w:rPr>
          <w:rFonts w:ascii="Minion Pro" w:hAnsi="Minion Pro"/>
          <w:b w:val="0"/>
          <w:sz w:val="20"/>
        </w:rPr>
        <w:t>seen</w:t>
      </w:r>
      <w:r>
        <w:rPr>
          <w:rFonts w:ascii="Minion Pro" w:hAnsi="Minion Pro"/>
          <w:b w:val="0"/>
          <w:sz w:val="20"/>
        </w:rPr>
        <w:t xml:space="preserve"> </w:t>
      </w:r>
      <w:r>
        <w:rPr>
          <w:rFonts w:ascii="Minion Pro" w:hAnsi="Minion Pro"/>
          <w:b w:val="0"/>
          <w:sz w:val="20"/>
        </w:rPr>
        <w:t>in</w:t>
      </w:r>
      <w:r>
        <w:rPr>
          <w:rFonts w:ascii="Minion Pro" w:hAnsi="Minion Pro"/>
          <w:b w:val="0"/>
          <w:sz w:val="20"/>
        </w:rPr>
        <w:t xml:space="preserve"> </w:t>
      </w:r>
      <w:r>
        <w:rPr>
          <w:rFonts w:ascii="Minion Pro" w:hAnsi="Minion Pro"/>
          <w:b w:val="0"/>
          <w:sz w:val="20"/>
        </w:rPr>
        <w:t>older</w:t>
      </w:r>
      <w:r>
        <w:rPr>
          <w:rFonts w:ascii="Minion Pro" w:hAnsi="Minion Pro"/>
          <w:b w:val="0"/>
          <w:sz w:val="20"/>
        </w:rPr>
        <w:t xml:space="preserve"> </w:t>
      </w:r>
      <w:r>
        <w:rPr>
          <w:rFonts w:ascii="Minion Pro" w:hAnsi="Minion Pro"/>
          <w:b w:val="0"/>
          <w:sz w:val="20"/>
        </w:rPr>
        <w:t>people</w:t>
      </w:r>
      <w:r>
        <w:rPr>
          <w:rFonts w:ascii="Minion Pro" w:hAnsi="Minion Pro"/>
          <w:b w:val="0"/>
          <w:sz w:val="20"/>
        </w:rPr>
        <w:t xml:space="preserve"> </w:t>
      </w:r>
      <w:r>
        <w:rPr>
          <w:rFonts w:ascii="Minion Pro" w:hAnsi="Minion Pro"/>
          <w:b w:val="0"/>
          <w:sz w:val="20"/>
        </w:rPr>
        <w:t>but</w:t>
      </w:r>
      <w:r>
        <w:rPr>
          <w:rFonts w:ascii="Minion Pro" w:hAnsi="Minion Pro"/>
          <w:b w:val="0"/>
          <w:sz w:val="20"/>
        </w:rPr>
        <w:t xml:space="preserve"> </w:t>
      </w:r>
      <w:r>
        <w:rPr>
          <w:rFonts w:ascii="Minion Pro" w:hAnsi="Minion Pro"/>
          <w:b w:val="0"/>
          <w:sz w:val="20"/>
        </w:rPr>
        <w:t>often</w:t>
      </w:r>
      <w:r>
        <w:rPr>
          <w:rFonts w:ascii="Minion Pro" w:hAnsi="Minion Pro"/>
          <w:b w:val="0"/>
          <w:sz w:val="20"/>
        </w:rPr>
        <w:t xml:space="preserve"> </w:t>
      </w:r>
      <w:r>
        <w:rPr>
          <w:rFonts w:ascii="Minion Pro" w:hAnsi="Minion Pro"/>
          <w:b w:val="0"/>
          <w:sz w:val="20"/>
        </w:rPr>
        <w:t>neglected</w:t>
      </w:r>
      <w:r>
        <w:rPr>
          <w:rFonts w:ascii="Minion Pro" w:hAnsi="Minion Pro"/>
          <w:b w:val="0"/>
          <w:sz w:val="20"/>
        </w:rPr>
        <w:t xml:space="preserve"> </w:t>
      </w:r>
      <w:r>
        <w:rPr>
          <w:rFonts w:ascii="Minion Pro" w:hAnsi="Minion Pro"/>
          <w:b w:val="0"/>
          <w:sz w:val="20"/>
        </w:rPr>
        <w:t>due</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its</w:t>
      </w:r>
      <w:r>
        <w:rPr>
          <w:rFonts w:ascii="Minion Pro" w:hAnsi="Minion Pro"/>
          <w:b w:val="0"/>
          <w:sz w:val="20"/>
        </w:rPr>
        <w:t xml:space="preserve"> </w:t>
      </w:r>
      <w:r>
        <w:rPr>
          <w:rFonts w:ascii="Minion Pro" w:hAnsi="Minion Pro"/>
          <w:b w:val="0"/>
          <w:sz w:val="20"/>
        </w:rPr>
        <w:t>silent</w:t>
      </w:r>
      <w:r>
        <w:rPr>
          <w:rFonts w:ascii="Minion Pro" w:hAnsi="Minion Pro"/>
          <w:b w:val="0"/>
          <w:sz w:val="20"/>
        </w:rPr>
        <w:t xml:space="preserve"> </w:t>
      </w:r>
      <w:r>
        <w:rPr>
          <w:rFonts w:ascii="Minion Pro" w:hAnsi="Minion Pro"/>
          <w:b w:val="0"/>
          <w:sz w:val="20"/>
        </w:rPr>
        <w:t>nature</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overcome</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issue</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osteoporosis</w:t>
      </w:r>
      <w:r>
        <w:rPr>
          <w:rFonts w:ascii="Minion Pro" w:hAnsi="Minion Pro"/>
          <w:b w:val="0"/>
          <w:sz w:val="20"/>
        </w:rPr>
        <w:t xml:space="preserve"> </w:t>
      </w:r>
      <w:r>
        <w:rPr>
          <w:rFonts w:ascii="Minion Pro" w:hAnsi="Minion Pro"/>
          <w:b w:val="0"/>
          <w:sz w:val="20"/>
        </w:rPr>
        <w:t>in</w:t>
      </w:r>
      <w:r>
        <w:rPr>
          <w:rFonts w:ascii="Minion Pro" w:hAnsi="Minion Pro"/>
          <w:b w:val="0"/>
          <w:sz w:val="20"/>
        </w:rPr>
        <w:t xml:space="preserve"> </w:t>
      </w:r>
      <w:r>
        <w:rPr>
          <w:rFonts w:ascii="Minion Pro" w:hAnsi="Minion Pro"/>
          <w:b w:val="0"/>
          <w:sz w:val="20"/>
        </w:rPr>
        <w:t>men</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women</w:t>
      </w:r>
      <w:r>
        <w:rPr>
          <w:rFonts w:ascii="Minion Pro" w:hAnsi="Minion Pro"/>
          <w:b w:val="0"/>
          <w:sz w:val="20"/>
        </w:rPr>
        <w:t xml:space="preserve">; </w:t>
      </w:r>
      <w:r>
        <w:rPr>
          <w:rFonts w:ascii="Minion Pro" w:hAnsi="Minion Pro"/>
          <w:b w:val="0"/>
          <w:sz w:val="20"/>
        </w:rPr>
        <w:t>we</w:t>
      </w:r>
      <w:r>
        <w:rPr>
          <w:rFonts w:ascii="Minion Pro" w:hAnsi="Minion Pro"/>
          <w:b w:val="0"/>
          <w:sz w:val="20"/>
        </w:rPr>
        <w:t xml:space="preserve"> </w:t>
      </w:r>
      <w:r>
        <w:rPr>
          <w:rFonts w:ascii="Minion Pro" w:hAnsi="Minion Pro"/>
          <w:b w:val="0"/>
          <w:sz w:val="20"/>
        </w:rPr>
        <w:t>proposed</w:t>
      </w:r>
      <w:r>
        <w:rPr>
          <w:rFonts w:ascii="Minion Pro" w:hAnsi="Minion Pro"/>
          <w:b w:val="0"/>
          <w:sz w:val="20"/>
        </w:rPr>
        <w:t xml:space="preserve"> </w:t>
      </w:r>
      <w:r>
        <w:rPr>
          <w:rFonts w:ascii="Minion Pro" w:hAnsi="Minion Pro"/>
          <w:b w:val="0"/>
          <w:sz w:val="20"/>
        </w:rPr>
        <w:t>an</w:t>
      </w:r>
      <w:r>
        <w:rPr>
          <w:rFonts w:ascii="Minion Pro" w:hAnsi="Minion Pro"/>
          <w:b w:val="0"/>
          <w:sz w:val="20"/>
        </w:rPr>
        <w:t xml:space="preserve"> </w:t>
      </w:r>
      <w:r>
        <w:rPr>
          <w:rFonts w:ascii="Minion Pro" w:hAnsi="Minion Pro"/>
          <w:b w:val="0"/>
          <w:sz w:val="20"/>
        </w:rPr>
        <w:t>advanced</w:t>
      </w:r>
      <w:r>
        <w:rPr>
          <w:rFonts w:ascii="Minion Pro" w:hAnsi="Minion Pro"/>
          <w:b w:val="0"/>
          <w:sz w:val="20"/>
        </w:rPr>
        <w:t xml:space="preserve"> </w:t>
      </w:r>
      <w:r>
        <w:rPr>
          <w:rFonts w:ascii="Minion Pro" w:hAnsi="Minion Pro"/>
          <w:b w:val="0"/>
          <w:sz w:val="20"/>
        </w:rPr>
        <w:t>prediction</w:t>
      </w:r>
      <w:r>
        <w:rPr>
          <w:rFonts w:ascii="Minion Pro" w:hAnsi="Minion Pro"/>
          <w:b w:val="0"/>
          <w:sz w:val="20"/>
        </w:rPr>
        <w:t xml:space="preserve"> </w:t>
      </w:r>
      <w:r>
        <w:rPr>
          <w:rFonts w:ascii="Minion Pro" w:hAnsi="Minion Pro"/>
          <w:b w:val="0"/>
          <w:sz w:val="20"/>
        </w:rPr>
        <w:t>model</w:t>
      </w:r>
      <w:r>
        <w:rPr>
          <w:rFonts w:ascii="Minion Pro" w:hAnsi="Minion Pro"/>
          <w:b w:val="0"/>
          <w:sz w:val="20"/>
        </w:rPr>
        <w:t xml:space="preserve"> </w:t>
      </w:r>
      <w:r>
        <w:rPr>
          <w:rFonts w:ascii="Minion Pro" w:hAnsi="Minion Pro"/>
          <w:b w:val="0"/>
          <w:sz w:val="20"/>
        </w:rPr>
        <w:t>with</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help</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machine</w:t>
      </w:r>
      <w:r>
        <w:rPr>
          <w:rFonts w:ascii="Minion Pro" w:hAnsi="Minion Pro"/>
          <w:b w:val="0"/>
          <w:sz w:val="20"/>
        </w:rPr>
        <w:t xml:space="preserve"> </w:t>
      </w:r>
      <w:r>
        <w:rPr>
          <w:rFonts w:ascii="Minion Pro" w:hAnsi="Minion Pro"/>
          <w:b w:val="0"/>
          <w:sz w:val="20"/>
        </w:rPr>
        <w:t>learning</w:t>
      </w:r>
      <w:r>
        <w:rPr>
          <w:rFonts w:ascii="Minion Pro" w:hAnsi="Minion Pro"/>
          <w:b w:val="0"/>
          <w:sz w:val="20"/>
        </w:rPr>
        <w:t xml:space="preserve"> </w:t>
      </w:r>
      <w:r>
        <w:rPr>
          <w:rFonts w:ascii="Minion Pro" w:hAnsi="Minion Pro"/>
          <w:b w:val="0"/>
          <w:sz w:val="20"/>
        </w:rPr>
        <w:t>techniques</w:t>
      </w:r>
      <w:r>
        <w:rPr>
          <w:rFonts w:ascii="Minion Pro" w:hAnsi="Minion Pro"/>
          <w:b w:val="0"/>
          <w:sz w:val="20"/>
        </w:rPr>
        <w:t xml:space="preserve"> </w:t>
      </w:r>
      <w:r>
        <w:rPr>
          <w:rFonts w:ascii="Minion Pro" w:hAnsi="Minion Pro"/>
          <w:b w:val="0"/>
          <w:sz w:val="20"/>
        </w:rPr>
        <w:t>which</w:t>
      </w:r>
      <w:r>
        <w:rPr>
          <w:rFonts w:ascii="Minion Pro" w:hAnsi="Minion Pro"/>
          <w:b w:val="0"/>
          <w:sz w:val="20"/>
        </w:rPr>
        <w:t xml:space="preserve"> </w:t>
      </w:r>
      <w:r>
        <w:rPr>
          <w:rFonts w:ascii="Minion Pro" w:hAnsi="Minion Pro"/>
          <w:b w:val="0"/>
          <w:sz w:val="20"/>
        </w:rPr>
        <w:t>can</w:t>
      </w:r>
      <w:r>
        <w:rPr>
          <w:rFonts w:ascii="Minion Pro" w:hAnsi="Minion Pro"/>
          <w:b w:val="0"/>
          <w:sz w:val="20"/>
        </w:rPr>
        <w:t xml:space="preserve"> </w:t>
      </w:r>
      <w:r>
        <w:rPr>
          <w:rFonts w:ascii="Minion Pro" w:hAnsi="Minion Pro"/>
          <w:b w:val="0"/>
          <w:sz w:val="20"/>
        </w:rPr>
        <w:t>help</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identify</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potential</w:t>
      </w:r>
      <w:r>
        <w:rPr>
          <w:rFonts w:ascii="Minion Pro" w:hAnsi="Minion Pro"/>
          <w:b w:val="0"/>
          <w:sz w:val="20"/>
        </w:rPr>
        <w:t xml:space="preserve"> </w:t>
      </w:r>
      <w:r>
        <w:rPr>
          <w:rFonts w:ascii="Minion Pro" w:hAnsi="Minion Pro"/>
          <w:b w:val="0"/>
          <w:sz w:val="20"/>
        </w:rPr>
        <w:t>occurrence</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this</w:t>
      </w:r>
      <w:r>
        <w:rPr>
          <w:rFonts w:ascii="Minion Pro" w:hAnsi="Minion Pro"/>
          <w:b w:val="0"/>
          <w:sz w:val="20"/>
        </w:rPr>
        <w:t xml:space="preserve"> </w:t>
      </w:r>
      <w:r>
        <w:rPr>
          <w:rFonts w:ascii="Minion Pro" w:hAnsi="Minion Pro"/>
          <w:b w:val="0"/>
          <w:sz w:val="20"/>
        </w:rPr>
        <w:t>bone</w:t>
      </w:r>
      <w:r>
        <w:rPr>
          <w:rFonts w:ascii="Minion Pro" w:hAnsi="Minion Pro"/>
          <w:b w:val="0"/>
          <w:sz w:val="20"/>
        </w:rPr>
        <w:t xml:space="preserve"> </w:t>
      </w:r>
      <w:r>
        <w:rPr>
          <w:rFonts w:ascii="Minion Pro" w:hAnsi="Minion Pro"/>
          <w:b w:val="0"/>
          <w:sz w:val="20"/>
        </w:rPr>
        <w:t>disease</w:t>
      </w:r>
      <w:r>
        <w:rPr>
          <w:rFonts w:ascii="Minion Pro" w:hAnsi="Minion Pro"/>
          <w:b w:val="0"/>
          <w:sz w:val="20"/>
        </w:rPr>
        <w:t xml:space="preserve"> </w:t>
      </w:r>
      <w:r>
        <w:rPr>
          <w:rFonts w:ascii="Minion Pro" w:hAnsi="Minion Pro"/>
          <w:b w:val="0"/>
          <w:sz w:val="20"/>
        </w:rPr>
        <w:t>by</w:t>
      </w:r>
      <w:r>
        <w:rPr>
          <w:rFonts w:ascii="Minion Pro" w:hAnsi="Minion Pro"/>
          <w:b w:val="0"/>
          <w:sz w:val="20"/>
        </w:rPr>
        <w:t xml:space="preserve"> </w:t>
      </w:r>
      <w:r>
        <w:rPr>
          <w:rFonts w:ascii="Minion Pro" w:hAnsi="Minion Pro"/>
          <w:b w:val="0"/>
          <w:sz w:val="20"/>
        </w:rPr>
        <w:t>its</w:t>
      </w:r>
      <w:r>
        <w:rPr>
          <w:rFonts w:ascii="Minion Pro" w:hAnsi="Minion Pro"/>
          <w:b w:val="0"/>
          <w:sz w:val="20"/>
        </w:rPr>
        <w:t xml:space="preserve"> </w:t>
      </w:r>
      <w:r>
        <w:rPr>
          <w:rFonts w:ascii="Minion Pro" w:hAnsi="Minion Pro"/>
          <w:b w:val="0"/>
          <w:sz w:val="20"/>
        </w:rPr>
        <w:t>advanced</w:t>
      </w:r>
      <w:r>
        <w:rPr>
          <w:rFonts w:ascii="Minion Pro" w:hAnsi="Minion Pro"/>
          <w:b w:val="0"/>
          <w:sz w:val="20"/>
        </w:rPr>
        <w:t xml:space="preserve"> </w:t>
      </w:r>
      <w:r>
        <w:rPr>
          <w:rFonts w:ascii="Minion Pro" w:hAnsi="Minion Pro"/>
          <w:b w:val="0"/>
          <w:sz w:val="20"/>
        </w:rPr>
        <w:t>screening</w:t>
      </w:r>
      <w:r>
        <w:rPr>
          <w:rFonts w:ascii="Minion Pro" w:hAnsi="Minion Pro"/>
          <w:b w:val="0"/>
          <w:sz w:val="20"/>
        </w:rPr>
        <w:t xml:space="preserve"> </w:t>
      </w:r>
      <w:r>
        <w:rPr>
          <w:rFonts w:ascii="Minion Pro" w:hAnsi="Minion Pro"/>
          <w:b w:val="0"/>
          <w:sz w:val="20"/>
        </w:rPr>
        <w:t>tools</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achieve</w:t>
      </w:r>
      <w:r>
        <w:rPr>
          <w:rFonts w:ascii="Minion Pro" w:hAnsi="Minion Pro"/>
          <w:b w:val="0"/>
          <w:sz w:val="20"/>
        </w:rPr>
        <w:t xml:space="preserve"> </w:t>
      </w:r>
      <w:r>
        <w:rPr>
          <w:rFonts w:ascii="Minion Pro" w:hAnsi="Minion Pro"/>
          <w:b w:val="0"/>
          <w:sz w:val="20"/>
        </w:rPr>
        <w:t>more</w:t>
      </w:r>
      <w:r>
        <w:rPr>
          <w:rFonts w:ascii="Minion Pro" w:hAnsi="Minion Pro"/>
          <w:b w:val="0"/>
          <w:sz w:val="20"/>
        </w:rPr>
        <w:t xml:space="preserve"> </w:t>
      </w:r>
      <w:r>
        <w:rPr>
          <w:rFonts w:ascii="Minion Pro" w:hAnsi="Minion Pro"/>
          <w:b w:val="0"/>
          <w:sz w:val="20"/>
        </w:rPr>
        <w:t>reliable</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accurate</w:t>
      </w:r>
      <w:r>
        <w:rPr>
          <w:rFonts w:ascii="Minion Pro" w:hAnsi="Minion Pro"/>
          <w:b w:val="0"/>
          <w:sz w:val="20"/>
        </w:rPr>
        <w:t xml:space="preserve"> </w:t>
      </w:r>
      <w:r>
        <w:rPr>
          <w:rFonts w:ascii="Minion Pro" w:hAnsi="Minion Pro"/>
          <w:b w:val="0"/>
          <w:sz w:val="20"/>
        </w:rPr>
        <w:t>results</w:t>
      </w:r>
      <w:r>
        <w:rPr>
          <w:rFonts w:ascii="Minion Pro" w:hAnsi="Minion Pro"/>
          <w:b w:val="0"/>
          <w:sz w:val="20"/>
        </w:rPr>
        <w:t xml:space="preserve">, </w:t>
      </w:r>
      <w:r>
        <w:rPr>
          <w:rFonts w:ascii="Minion Pro" w:hAnsi="Minion Pro"/>
          <w:b w:val="0"/>
          <w:sz w:val="20"/>
        </w:rPr>
        <w:t>various</w:t>
      </w:r>
      <w:r>
        <w:rPr>
          <w:rFonts w:ascii="Minion Pro" w:hAnsi="Minion Pro"/>
          <w:b w:val="0"/>
          <w:sz w:val="20"/>
        </w:rPr>
        <w:t xml:space="preserve"> </w:t>
      </w:r>
      <w:r>
        <w:rPr>
          <w:rFonts w:ascii="Minion Pro" w:hAnsi="Minion Pro"/>
          <w:b w:val="0"/>
          <w:sz w:val="20"/>
        </w:rPr>
        <w:t>machine</w:t>
      </w:r>
      <w:r>
        <w:rPr>
          <w:rFonts w:ascii="Minion Pro" w:hAnsi="Minion Pro"/>
          <w:b w:val="0"/>
          <w:sz w:val="20"/>
        </w:rPr>
        <w:t>-</w:t>
      </w:r>
      <w:r>
        <w:rPr>
          <w:rFonts w:ascii="Minion Pro" w:hAnsi="Minion Pro"/>
          <w:b w:val="0"/>
          <w:sz w:val="20"/>
        </w:rPr>
        <w:t>learning</w:t>
      </w:r>
      <w:r>
        <w:rPr>
          <w:rFonts w:ascii="Minion Pro" w:hAnsi="Minion Pro"/>
          <w:b w:val="0"/>
          <w:sz w:val="20"/>
        </w:rPr>
        <w:t xml:space="preserve"> </w:t>
      </w:r>
      <w:r>
        <w:rPr>
          <w:rFonts w:ascii="Minion Pro" w:hAnsi="Minion Pro"/>
          <w:b w:val="0"/>
          <w:sz w:val="20"/>
        </w:rPr>
        <w:t>techniques</w:t>
      </w:r>
      <w:r>
        <w:rPr>
          <w:rFonts w:ascii="Minion Pro" w:hAnsi="Minion Pro"/>
          <w:b w:val="0"/>
          <w:sz w:val="20"/>
        </w:rPr>
        <w:t xml:space="preserve"> </w:t>
      </w:r>
      <w:r>
        <w:rPr>
          <w:rFonts w:ascii="Minion Pro" w:hAnsi="Minion Pro"/>
          <w:b w:val="0"/>
          <w:sz w:val="20"/>
        </w:rPr>
        <w:t>were</w:t>
      </w:r>
      <w:r>
        <w:rPr>
          <w:rFonts w:ascii="Minion Pro" w:hAnsi="Minion Pro"/>
          <w:b w:val="0"/>
          <w:sz w:val="20"/>
        </w:rPr>
        <w:t xml:space="preserve"> </w:t>
      </w:r>
      <w:r>
        <w:rPr>
          <w:rFonts w:ascii="Minion Pro" w:hAnsi="Minion Pro"/>
          <w:b w:val="0"/>
          <w:sz w:val="20"/>
        </w:rPr>
        <w:t>applied</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presented</w:t>
      </w:r>
      <w:r>
        <w:rPr>
          <w:rFonts w:ascii="Minion Pro" w:hAnsi="Minion Pro"/>
          <w:b w:val="0"/>
          <w:sz w:val="20"/>
        </w:rPr>
        <w:t xml:space="preserve"> </w:t>
      </w:r>
      <w:r>
        <w:rPr>
          <w:rFonts w:ascii="Minion Pro" w:hAnsi="Minion Pro"/>
          <w:b w:val="0"/>
          <w:sz w:val="20"/>
        </w:rPr>
        <w:t>data</w:t>
      </w:r>
      <w:r>
        <w:rPr>
          <w:rFonts w:ascii="Minion Pro" w:hAnsi="Minion Pro"/>
          <w:b w:val="0"/>
          <w:sz w:val="20"/>
        </w:rPr>
        <w:t xml:space="preserve"> </w:t>
      </w:r>
      <w:r>
        <w:rPr>
          <w:rFonts w:ascii="Minion Pro" w:hAnsi="Minion Pro"/>
          <w:b w:val="0"/>
          <w:sz w:val="20"/>
        </w:rPr>
        <w:t>sets</w:t>
      </w:r>
      <w:r>
        <w:rPr>
          <w:rFonts w:ascii="Minion Pro" w:hAnsi="Minion Pro"/>
          <w:b w:val="0"/>
          <w:sz w:val="20"/>
        </w:rPr>
        <w:t xml:space="preserve">. </w:t>
      </w:r>
      <w:r>
        <w:rPr>
          <w:rFonts w:ascii="Minion Pro" w:hAnsi="Minion Pro"/>
          <w:b w:val="0"/>
          <w:sz w:val="20"/>
        </w:rPr>
        <w:t>Moreover</w:t>
      </w:r>
      <w:r>
        <w:rPr>
          <w:rFonts w:ascii="Minion Pro" w:hAnsi="Minion Pro"/>
          <w:b w:val="0"/>
          <w:sz w:val="20"/>
        </w:rPr>
        <w:t xml:space="preserve">, </w:t>
      </w:r>
      <w:r>
        <w:rPr>
          <w:rFonts w:ascii="Minion Pro" w:hAnsi="Minion Pro"/>
          <w:b w:val="0"/>
          <w:sz w:val="20"/>
        </w:rPr>
        <w:t>we</w:t>
      </w:r>
      <w:r>
        <w:rPr>
          <w:rFonts w:ascii="Minion Pro" w:hAnsi="Minion Pro"/>
          <w:b w:val="0"/>
          <w:sz w:val="20"/>
        </w:rPr>
        <w:t xml:space="preserve"> </w:t>
      </w:r>
      <w:r>
        <w:rPr>
          <w:rFonts w:ascii="Minion Pro" w:hAnsi="Minion Pro"/>
          <w:b w:val="0"/>
          <w:sz w:val="20"/>
        </w:rPr>
        <w:t>also</w:t>
      </w:r>
      <w:r>
        <w:rPr>
          <w:rFonts w:ascii="Minion Pro" w:hAnsi="Minion Pro"/>
          <w:b w:val="0"/>
          <w:sz w:val="20"/>
        </w:rPr>
        <w:t xml:space="preserve"> </w:t>
      </w:r>
      <w:r>
        <w:rPr>
          <w:rFonts w:ascii="Minion Pro" w:hAnsi="Minion Pro"/>
          <w:b w:val="0"/>
          <w:sz w:val="20"/>
        </w:rPr>
        <w:t>compared</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performance</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our</w:t>
      </w:r>
      <w:r>
        <w:rPr>
          <w:rFonts w:ascii="Minion Pro" w:hAnsi="Minion Pro"/>
          <w:b w:val="0"/>
          <w:sz w:val="20"/>
        </w:rPr>
        <w:t xml:space="preserve"> </w:t>
      </w:r>
      <w:r>
        <w:rPr>
          <w:rFonts w:ascii="Minion Pro" w:hAnsi="Minion Pro"/>
          <w:b w:val="0"/>
          <w:sz w:val="20"/>
        </w:rPr>
        <w:t>results</w:t>
      </w:r>
      <w:r>
        <w:rPr>
          <w:rFonts w:ascii="Minion Pro" w:hAnsi="Minion Pro"/>
          <w:b w:val="0"/>
          <w:sz w:val="20"/>
        </w:rPr>
        <w:t xml:space="preserve"> </w:t>
      </w:r>
      <w:r>
        <w:rPr>
          <w:rFonts w:ascii="Minion Pro" w:hAnsi="Minion Pro"/>
          <w:b w:val="0"/>
          <w:sz w:val="20"/>
        </w:rPr>
        <w:t>with</w:t>
      </w:r>
      <w:r>
        <w:rPr>
          <w:rFonts w:ascii="Minion Pro" w:hAnsi="Minion Pro"/>
          <w:b w:val="0"/>
          <w:sz w:val="20"/>
        </w:rPr>
        <w:t xml:space="preserve"> </w:t>
      </w:r>
      <w:r>
        <w:rPr>
          <w:rFonts w:ascii="Minion Pro" w:hAnsi="Minion Pro"/>
          <w:b w:val="0"/>
          <w:sz w:val="20"/>
        </w:rPr>
        <w:t>other</w:t>
      </w:r>
      <w:r>
        <w:rPr>
          <w:rFonts w:ascii="Minion Pro" w:hAnsi="Minion Pro"/>
          <w:b w:val="0"/>
          <w:sz w:val="20"/>
        </w:rPr>
        <w:t xml:space="preserve"> </w:t>
      </w:r>
      <w:r>
        <w:rPr>
          <w:rFonts w:ascii="Minion Pro" w:hAnsi="Minion Pro"/>
          <w:b w:val="0"/>
          <w:sz w:val="20"/>
        </w:rPr>
        <w:t>existing</w:t>
      </w:r>
      <w:r>
        <w:rPr>
          <w:rFonts w:ascii="Minion Pro" w:hAnsi="Minion Pro"/>
          <w:b w:val="0"/>
          <w:sz w:val="20"/>
        </w:rPr>
        <w:t xml:space="preserve"> </w:t>
      </w:r>
      <w:r>
        <w:rPr>
          <w:rFonts w:ascii="Minion Pro" w:hAnsi="Minion Pro"/>
          <w:b w:val="0"/>
          <w:sz w:val="20"/>
        </w:rPr>
        <w:t>algorithms</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solely</w:t>
      </w:r>
      <w:r>
        <w:rPr>
          <w:rFonts w:ascii="Minion Pro" w:hAnsi="Minion Pro"/>
          <w:b w:val="0"/>
          <w:sz w:val="20"/>
        </w:rPr>
        <w:t xml:space="preserve"> </w:t>
      </w:r>
      <w:r>
        <w:rPr>
          <w:rFonts w:ascii="Minion Pro" w:hAnsi="Minion Pro"/>
          <w:b w:val="0"/>
          <w:sz w:val="20"/>
        </w:rPr>
        <w:t>focus</w:t>
      </w:r>
      <w:r>
        <w:rPr>
          <w:rFonts w:ascii="Minion Pro" w:hAnsi="Minion Pro"/>
          <w:b w:val="0"/>
          <w:sz w:val="20"/>
        </w:rPr>
        <w:t xml:space="preserve"> </w:t>
      </w:r>
      <w:r>
        <w:rPr>
          <w:rFonts w:ascii="Minion Pro" w:hAnsi="Minion Pro"/>
          <w:b w:val="0"/>
          <w:sz w:val="20"/>
        </w:rPr>
        <w:t>on</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advanced</w:t>
      </w:r>
      <w:r>
        <w:rPr>
          <w:rFonts w:ascii="Minion Pro" w:hAnsi="Minion Pro"/>
          <w:b w:val="0"/>
          <w:sz w:val="20"/>
        </w:rPr>
        <w:t xml:space="preserve"> </w:t>
      </w:r>
      <w:r>
        <w:rPr>
          <w:rFonts w:ascii="Minion Pro" w:hAnsi="Minion Pro"/>
          <w:b w:val="0"/>
          <w:sz w:val="20"/>
        </w:rPr>
        <w:t>features</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proposed</w:t>
      </w:r>
      <w:r>
        <w:rPr>
          <w:rFonts w:ascii="Minion Pro" w:hAnsi="Minion Pro"/>
          <w:b w:val="0"/>
          <w:sz w:val="20"/>
        </w:rPr>
        <w:t xml:space="preserve"> </w:t>
      </w:r>
      <w:r>
        <w:rPr>
          <w:rFonts w:ascii="Minion Pro" w:hAnsi="Minion Pro"/>
          <w:b w:val="0"/>
          <w:sz w:val="20"/>
        </w:rPr>
        <w:t>methodology</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two</w:t>
      </w:r>
      <w:r>
        <w:rPr>
          <w:rFonts w:ascii="Minion Pro" w:hAnsi="Minion Pro"/>
          <w:b w:val="0"/>
          <w:sz w:val="20"/>
        </w:rPr>
        <w:t xml:space="preserve"> </w:t>
      </w:r>
      <w:r>
        <w:rPr>
          <w:rFonts w:ascii="Minion Pro" w:hAnsi="Minion Pro"/>
          <w:b w:val="0"/>
          <w:sz w:val="20"/>
        </w:rPr>
        <w:t>data</w:t>
      </w:r>
      <w:r>
        <w:rPr>
          <w:rFonts w:ascii="Minion Pro" w:hAnsi="Minion Pro"/>
          <w:b w:val="0"/>
          <w:sz w:val="20"/>
        </w:rPr>
        <w:t xml:space="preserve"> </w:t>
      </w:r>
      <w:r>
        <w:rPr>
          <w:rFonts w:ascii="Minion Pro" w:hAnsi="Minion Pro"/>
          <w:b w:val="0"/>
          <w:sz w:val="20"/>
        </w:rPr>
        <w:t>sets</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clinical</w:t>
      </w:r>
      <w:r>
        <w:rPr>
          <w:rFonts w:ascii="Minion Pro" w:hAnsi="Minion Pro"/>
          <w:b w:val="0"/>
          <w:sz w:val="20"/>
        </w:rPr>
        <w:t xml:space="preserve"> </w:t>
      </w:r>
      <w:r>
        <w:rPr>
          <w:rFonts w:ascii="Minion Pro" w:hAnsi="Minion Pro"/>
          <w:b w:val="0"/>
          <w:sz w:val="20"/>
        </w:rPr>
        <w:t>tests</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patients</w:t>
      </w:r>
      <w:r>
        <w:rPr>
          <w:rFonts w:ascii="Minion Pro" w:hAnsi="Minion Pro"/>
          <w:b w:val="0"/>
          <w:sz w:val="20"/>
        </w:rPr>
        <w:t xml:space="preserve"> </w:t>
      </w:r>
      <w:r>
        <w:rPr>
          <w:rFonts w:ascii="Minion Pro" w:hAnsi="Minion Pro"/>
          <w:b w:val="0"/>
          <w:sz w:val="20"/>
        </w:rPr>
        <w:t>in</w:t>
      </w:r>
      <w:r>
        <w:rPr>
          <w:rFonts w:ascii="Minion Pro" w:hAnsi="Minion Pro"/>
          <w:b w:val="0"/>
          <w:sz w:val="20"/>
        </w:rPr>
        <w:t xml:space="preserve"> </w:t>
      </w:r>
      <w:r>
        <w:rPr>
          <w:rFonts w:ascii="Minion Pro" w:hAnsi="Minion Pro"/>
          <w:b w:val="0"/>
          <w:sz w:val="20"/>
        </w:rPr>
        <w:t>Taiwan</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medical</w:t>
      </w:r>
      <w:r>
        <w:rPr>
          <w:rFonts w:ascii="Minion Pro" w:hAnsi="Minion Pro"/>
          <w:b w:val="0"/>
          <w:sz w:val="20"/>
        </w:rPr>
        <w:t xml:space="preserve"> </w:t>
      </w:r>
      <w:r>
        <w:rPr>
          <w:rFonts w:ascii="Minion Pro" w:hAnsi="Minion Pro"/>
          <w:b w:val="0"/>
          <w:sz w:val="20"/>
        </w:rPr>
        <w:t>reports</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postmenopausal</w:t>
      </w:r>
      <w:r>
        <w:rPr>
          <w:rFonts w:ascii="Minion Pro" w:hAnsi="Minion Pro"/>
          <w:b w:val="0"/>
          <w:sz w:val="20"/>
        </w:rPr>
        <w:t xml:space="preserve"> </w:t>
      </w:r>
      <w:r>
        <w:rPr>
          <w:rFonts w:ascii="Minion Pro" w:hAnsi="Minion Pro"/>
          <w:b w:val="0"/>
          <w:sz w:val="20"/>
        </w:rPr>
        <w:t>women</w:t>
      </w:r>
      <w:r>
        <w:rPr>
          <w:rFonts w:ascii="Minion Pro" w:hAnsi="Minion Pro"/>
          <w:b w:val="0"/>
          <w:sz w:val="20"/>
        </w:rPr>
        <w:t xml:space="preserve"> </w:t>
      </w:r>
      <w:r>
        <w:rPr>
          <w:rFonts w:ascii="Minion Pro" w:hAnsi="Minion Pro"/>
          <w:b w:val="0"/>
          <w:sz w:val="20"/>
        </w:rPr>
        <w:t>in</w:t>
      </w:r>
      <w:r>
        <w:rPr>
          <w:rFonts w:ascii="Minion Pro" w:hAnsi="Minion Pro"/>
          <w:b w:val="0"/>
          <w:sz w:val="20"/>
        </w:rPr>
        <w:t xml:space="preserve"> </w:t>
      </w:r>
      <w:r>
        <w:rPr>
          <w:rFonts w:ascii="Minion Pro" w:hAnsi="Minion Pro"/>
          <w:b w:val="0"/>
          <w:sz w:val="20"/>
        </w:rPr>
        <w:t>Korea</w:t>
      </w:r>
      <w:r>
        <w:rPr>
          <w:rFonts w:ascii="Minion Pro" w:hAnsi="Minion Pro"/>
          <w:b w:val="0"/>
          <w:sz w:val="20"/>
        </w:rPr>
        <w:t xml:space="preserve"> </w:t>
      </w:r>
      <w:r>
        <w:rPr>
          <w:rFonts w:ascii="Minion Pro" w:hAnsi="Minion Pro"/>
          <w:b w:val="0"/>
          <w:sz w:val="20"/>
        </w:rPr>
        <w:t>through</w:t>
      </w:r>
      <w:r>
        <w:rPr>
          <w:rFonts w:ascii="Minion Pro" w:hAnsi="Minion Pro"/>
          <w:b w:val="0"/>
          <w:sz w:val="20"/>
        </w:rPr>
        <w:t xml:space="preserve"> </w:t>
      </w:r>
      <w:r>
        <w:rPr>
          <w:rFonts w:ascii="Minion Pro" w:hAnsi="Minion Pro"/>
          <w:b w:val="0"/>
          <w:sz w:val="20"/>
        </w:rPr>
        <w:t>KNHANES</w:t>
      </w:r>
      <w:r>
        <w:rPr>
          <w:rFonts w:ascii="Minion Pro" w:hAnsi="Minion Pro"/>
          <w:b w:val="0"/>
          <w:sz w:val="20"/>
        </w:rPr>
        <w:t xml:space="preserve"> (</w:t>
      </w:r>
      <w:r>
        <w:rPr>
          <w:rFonts w:ascii="Minion Pro" w:hAnsi="Minion Pro"/>
          <w:b w:val="0"/>
          <w:sz w:val="20"/>
        </w:rPr>
        <w:t>2010</w:t>
      </w:r>
      <w:r>
        <w:rPr>
          <w:rFonts w:ascii="Minion Pro" w:hAnsi="Minion Pro"/>
          <w:b w:val="0"/>
          <w:sz w:val="20"/>
        </w:rPr>
        <w:t>-</w:t>
      </w:r>
      <w:r>
        <w:rPr>
          <w:rFonts w:ascii="Minion Pro" w:hAnsi="Minion Pro"/>
          <w:b w:val="0"/>
          <w:sz w:val="20"/>
        </w:rPr>
        <w:t>11</w:t>
      </w:r>
      <w:r>
        <w:rPr>
          <w:rFonts w:ascii="Minion Pro" w:hAnsi="Minion Pro"/>
          <w:b w:val="0"/>
          <w:sz w:val="20"/>
        </w:rPr>
        <w:t xml:space="preserve">) </w:t>
      </w:r>
      <w:r>
        <w:rPr>
          <w:rFonts w:ascii="Minion Pro" w:hAnsi="Minion Pro"/>
          <w:b w:val="0"/>
          <w:sz w:val="20"/>
        </w:rPr>
        <w:t>were</w:t>
      </w:r>
      <w:r>
        <w:rPr>
          <w:rFonts w:ascii="Minion Pro" w:hAnsi="Minion Pro"/>
          <w:b w:val="0"/>
          <w:sz w:val="20"/>
        </w:rPr>
        <w:t xml:space="preserve"> </w:t>
      </w:r>
      <w:r>
        <w:rPr>
          <w:rFonts w:ascii="Minion Pro" w:hAnsi="Minion Pro"/>
          <w:b w:val="0"/>
          <w:sz w:val="20"/>
        </w:rPr>
        <w:t>considered</w:t>
      </w:r>
      <w:r>
        <w:rPr>
          <w:rFonts w:ascii="Minion Pro" w:hAnsi="Minion Pro"/>
          <w:b w:val="0"/>
          <w:sz w:val="20"/>
        </w:rPr>
        <w:t xml:space="preserve"> </w:t>
      </w:r>
      <w:r>
        <w:rPr>
          <w:rFonts w:ascii="Minion Pro" w:hAnsi="Minion Pro"/>
          <w:b w:val="0"/>
          <w:sz w:val="20"/>
        </w:rPr>
        <w:t>in</w:t>
      </w:r>
      <w:r>
        <w:rPr>
          <w:rFonts w:ascii="Minion Pro" w:hAnsi="Minion Pro"/>
          <w:b w:val="0"/>
          <w:sz w:val="20"/>
        </w:rPr>
        <w:t xml:space="preserve"> </w:t>
      </w:r>
      <w:r>
        <w:rPr>
          <w:rFonts w:ascii="Minion Pro" w:hAnsi="Minion Pro"/>
          <w:b w:val="0"/>
          <w:sz w:val="20"/>
        </w:rPr>
        <w:t>this</w:t>
      </w:r>
      <w:r>
        <w:rPr>
          <w:rFonts w:ascii="Minion Pro" w:hAnsi="Minion Pro"/>
          <w:b w:val="0"/>
          <w:sz w:val="20"/>
        </w:rPr>
        <w:t xml:space="preserve"> </w:t>
      </w:r>
      <w:r>
        <w:rPr>
          <w:rFonts w:ascii="Minion Pro" w:hAnsi="Minion Pro"/>
          <w:b w:val="0"/>
          <w:sz w:val="20"/>
        </w:rPr>
        <w:t>study</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predict</w:t>
      </w:r>
      <w:r>
        <w:rPr>
          <w:rFonts w:ascii="Minion Pro" w:hAnsi="Minion Pro"/>
          <w:b w:val="0"/>
          <w:sz w:val="20"/>
        </w:rPr>
      </w:r>
      <w:r>
        <w:rPr>
          <w:rFonts w:ascii="Minion Pro" w:hAnsi="Minion Pro"/>
          <w:b w:val="0"/>
          <w:sz w:val="20"/>
        </w:rPr>
        <w:t>bone</w:t>
      </w:r>
      <w:r>
        <w:rPr>
          <w:rFonts w:ascii="Minion Pro" w:hAnsi="Minion Pro"/>
          <w:b w:val="0"/>
          <w:sz w:val="20"/>
        </w:rPr>
        <w:t xml:space="preserve"> </w:t>
      </w:r>
      <w:r>
        <w:rPr>
          <w:rFonts w:ascii="Minion Pro" w:hAnsi="Minion Pro"/>
          <w:b w:val="0"/>
          <w:sz w:val="20"/>
        </w:rPr>
        <w:t>disorders</w:t>
      </w:r>
      <w:r>
        <w:rPr>
          <w:rFonts w:ascii="Minion Pro" w:hAnsi="Minion Pro"/>
          <w:b w:val="0"/>
          <w:sz w:val="20"/>
        </w:rPr>
        <w:t xml:space="preserve">, </w:t>
      </w:r>
      <w:r>
        <w:rPr>
          <w:rFonts w:ascii="Minion Pro" w:hAnsi="Minion Pro"/>
          <w:b w:val="0"/>
          <w:sz w:val="20"/>
        </w:rPr>
        <w:t>we</w:t>
      </w:r>
      <w:r>
        <w:rPr>
          <w:rFonts w:ascii="Minion Pro" w:hAnsi="Minion Pro"/>
          <w:b w:val="0"/>
          <w:sz w:val="20"/>
        </w:rPr>
        <w:t xml:space="preserve"> </w:t>
      </w:r>
      <w:r>
        <w:rPr>
          <w:rFonts w:ascii="Minion Pro" w:hAnsi="Minion Pro"/>
          <w:b w:val="0"/>
          <w:sz w:val="20"/>
        </w:rPr>
        <w:t>utilized</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data</w:t>
      </w:r>
      <w:r>
        <w:rPr>
          <w:rFonts w:ascii="Minion Pro" w:hAnsi="Minion Pro"/>
          <w:b w:val="0"/>
          <w:sz w:val="20"/>
        </w:rPr>
        <w:t xml:space="preserve"> </w:t>
      </w:r>
      <w:r>
        <w:rPr>
          <w:rFonts w:ascii="Minion Pro" w:hAnsi="Minion Pro"/>
          <w:b w:val="0"/>
          <w:sz w:val="20"/>
        </w:rPr>
        <w:t>about</w:t>
      </w:r>
      <w:r>
        <w:rPr>
          <w:rFonts w:ascii="Minion Pro" w:hAnsi="Minion Pro"/>
          <w:b w:val="0"/>
          <w:sz w:val="20"/>
        </w:rPr>
        <w:t xml:space="preserve"> </w:t>
      </w:r>
      <w:r>
        <w:rPr>
          <w:rFonts w:ascii="Minion Pro" w:hAnsi="Minion Pro"/>
          <w:b w:val="0"/>
          <w:sz w:val="20"/>
        </w:rPr>
        <w:t>females</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developed</w:t>
      </w:r>
      <w:r>
        <w:rPr>
          <w:rFonts w:ascii="Minion Pro" w:hAnsi="Minion Pro"/>
          <w:b w:val="0"/>
          <w:sz w:val="20"/>
        </w:rPr>
        <w:t xml:space="preserve"> </w:t>
      </w:r>
      <w:r>
        <w:rPr>
          <w:rFonts w:ascii="Minion Pro" w:hAnsi="Minion Pro"/>
          <w:b w:val="0"/>
          <w:sz w:val="20"/>
        </w:rPr>
        <w:t>a</w:t>
      </w:r>
      <w:r>
        <w:rPr>
          <w:rFonts w:ascii="Minion Pro" w:hAnsi="Minion Pro"/>
          <w:b w:val="0"/>
          <w:sz w:val="20"/>
        </w:rPr>
        <w:t xml:space="preserve"> </w:t>
      </w:r>
      <w:r>
        <w:rPr>
          <w:rFonts w:ascii="Minion Pro" w:hAnsi="Minion Pro"/>
          <w:b w:val="0"/>
          <w:sz w:val="20"/>
        </w:rPr>
        <w:t>system</w:t>
      </w:r>
      <w:r>
        <w:rPr>
          <w:rFonts w:ascii="Minion Pro" w:hAnsi="Minion Pro"/>
          <w:b w:val="0"/>
          <w:sz w:val="20"/>
        </w:rPr>
        <w:t xml:space="preserve"> </w:t>
      </w:r>
      <w:r>
        <w:rPr>
          <w:rFonts w:ascii="Minion Pro" w:hAnsi="Minion Pro"/>
          <w:b w:val="0"/>
          <w:sz w:val="20"/>
        </w:rPr>
        <w:t>using</w:t>
      </w:r>
      <w:r>
        <w:rPr>
          <w:rFonts w:ascii="Minion Pro" w:hAnsi="Minion Pro"/>
          <w:b w:val="0"/>
          <w:sz w:val="20"/>
        </w:rPr>
        <w:t xml:space="preserve"> </w:t>
      </w:r>
      <w:r>
        <w:rPr>
          <w:rFonts w:ascii="Minion Pro" w:hAnsi="Minion Pro"/>
          <w:b w:val="0"/>
          <w:sz w:val="20"/>
        </w:rPr>
        <w:t>artificial</w:t>
      </w:r>
      <w:r>
        <w:rPr>
          <w:rFonts w:ascii="Minion Pro" w:hAnsi="Minion Pro"/>
          <w:b w:val="0"/>
          <w:sz w:val="20"/>
        </w:rPr>
        <w:t xml:space="preserve"> </w:t>
      </w:r>
      <w:r>
        <w:rPr>
          <w:rFonts w:ascii="Minion Pro" w:hAnsi="Minion Pro"/>
          <w:b w:val="0"/>
          <w:sz w:val="20"/>
        </w:rPr>
        <w:t>neural</w:t>
      </w:r>
      <w:r>
        <w:rPr>
          <w:rFonts w:ascii="Minion Pro" w:hAnsi="Minion Pro"/>
          <w:b w:val="0"/>
          <w:sz w:val="20"/>
        </w:rPr>
        <w:t xml:space="preserve"> </w:t>
      </w:r>
      <w:r>
        <w:rPr>
          <w:rFonts w:ascii="Minion Pro" w:hAnsi="Minion Pro"/>
          <w:b w:val="0"/>
          <w:sz w:val="20"/>
        </w:rPr>
        <w:t>networks</w:t>
      </w:r>
      <w:r>
        <w:rPr>
          <w:rFonts w:ascii="Minion Pro" w:hAnsi="Minion Pro"/>
          <w:b w:val="0"/>
          <w:sz w:val="20"/>
        </w:rPr>
        <w:t xml:space="preserve"> (</w:t>
      </w:r>
      <w:r>
        <w:rPr>
          <w:rFonts w:ascii="Minion Pro" w:hAnsi="Minion Pro"/>
          <w:b w:val="0"/>
          <w:sz w:val="20"/>
        </w:rPr>
        <w:t>ANN</w:t>
      </w:r>
      <w:r>
        <w:rPr>
          <w:rFonts w:ascii="Minion Pro" w:hAnsi="Minion Pro"/>
          <w:b w:val="0"/>
          <w:sz w:val="20"/>
        </w:rPr>
        <w:t xml:space="preserve">), </w:t>
      </w:r>
      <w:r>
        <w:rPr>
          <w:rFonts w:ascii="Minion Pro" w:hAnsi="Minion Pro"/>
          <w:b w:val="0"/>
          <w:sz w:val="20"/>
        </w:rPr>
        <w:t>support</w:t>
      </w:r>
      <w:r>
        <w:rPr>
          <w:rFonts w:ascii="Minion Pro" w:hAnsi="Minion Pro"/>
          <w:b w:val="0"/>
          <w:sz w:val="20"/>
        </w:rPr>
        <w:t xml:space="preserve"> </w:t>
      </w:r>
      <w:r>
        <w:rPr>
          <w:rFonts w:ascii="Minion Pro" w:hAnsi="Minion Pro"/>
          <w:b w:val="0"/>
          <w:sz w:val="20"/>
        </w:rPr>
        <w:t>vector</w:t>
      </w:r>
      <w:r>
        <w:rPr>
          <w:rFonts w:ascii="Minion Pro" w:hAnsi="Minion Pro"/>
          <w:b w:val="0"/>
          <w:sz w:val="20"/>
        </w:rPr>
        <w:t xml:space="preserve"> </w:t>
      </w:r>
      <w:r>
        <w:rPr>
          <w:rFonts w:ascii="Minion Pro" w:hAnsi="Minion Pro"/>
          <w:b w:val="0"/>
          <w:sz w:val="20"/>
        </w:rPr>
        <w:t>machines</w:t>
      </w:r>
      <w:r>
        <w:rPr>
          <w:rFonts w:ascii="Minion Pro" w:hAnsi="Minion Pro"/>
          <w:b w:val="0"/>
          <w:sz w:val="20"/>
        </w:rPr>
        <w:t xml:space="preserve"> (</w:t>
      </w:r>
      <w:r>
        <w:rPr>
          <w:rFonts w:ascii="Minion Pro" w:hAnsi="Minion Pro"/>
          <w:b w:val="0"/>
          <w:sz w:val="20"/>
        </w:rPr>
        <w:t>SVM</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K</w:t>
      </w:r>
      <w:r>
        <w:rPr>
          <w:rFonts w:ascii="Minion Pro" w:hAnsi="Minion Pro"/>
          <w:b w:val="0"/>
          <w:sz w:val="20"/>
        </w:rPr>
        <w:t>-</w:t>
      </w:r>
      <w:r>
        <w:rPr>
          <w:rFonts w:ascii="Minion Pro" w:hAnsi="Minion Pro"/>
          <w:b w:val="0"/>
          <w:sz w:val="20"/>
        </w:rPr>
        <w:t>nearest</w:t>
      </w:r>
      <w:r>
        <w:rPr>
          <w:rFonts w:ascii="Minion Pro" w:hAnsi="Minion Pro"/>
          <w:b w:val="0"/>
          <w:sz w:val="20"/>
        </w:rPr>
        <w:t>neighbour</w:t>
      </w:r>
      <w:r>
        <w:rPr>
          <w:rFonts w:ascii="Minion Pro" w:hAnsi="Minion Pro"/>
          <w:b w:val="0"/>
          <w:sz w:val="20"/>
        </w:rPr>
      </w:r>
      <w:r>
        <w:rPr>
          <w:rFonts w:ascii="Minion Pro" w:hAnsi="Minion Pro"/>
          <w:b w:val="0"/>
          <w:sz w:val="20"/>
        </w:rPr>
        <w:t>(</w:t>
      </w:r>
      <w:r>
        <w:rPr>
          <w:rFonts w:ascii="Minion Pro" w:hAnsi="Minion Pro"/>
          <w:b w:val="0"/>
          <w:sz w:val="20"/>
        </w:rPr>
        <w:t>KNN</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compare</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performance</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model</w:t>
      </w:r>
      <w:r>
        <w:rPr>
          <w:rFonts w:ascii="Minion Pro" w:hAnsi="Minion Pro"/>
          <w:b w:val="0"/>
          <w:sz w:val="20"/>
        </w:rPr>
        <w:t xml:space="preserve"> </w:t>
      </w:r>
      <w:r>
        <w:rPr>
          <w:rFonts w:ascii="Minion Pro" w:hAnsi="Minion Pro"/>
          <w:b w:val="0"/>
          <w:sz w:val="20"/>
        </w:rPr>
        <w:t>Area</w:t>
      </w:r>
      <w:r>
        <w:rPr>
          <w:rFonts w:ascii="Minion Pro" w:hAnsi="Minion Pro"/>
          <w:b w:val="0"/>
          <w:sz w:val="20"/>
        </w:rPr>
        <w:t xml:space="preserve"> </w:t>
      </w:r>
      <w:r>
        <w:rPr>
          <w:rFonts w:ascii="Minion Pro" w:hAnsi="Minion Pro"/>
          <w:b w:val="0"/>
          <w:sz w:val="20"/>
        </w:rPr>
        <w:t>Under</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Receiver</w:t>
      </w:r>
      <w:r>
        <w:rPr>
          <w:rFonts w:ascii="Minion Pro" w:hAnsi="Minion Pro"/>
          <w:b w:val="0"/>
          <w:sz w:val="20"/>
        </w:rPr>
        <w:t xml:space="preserve"> </w:t>
      </w:r>
      <w:r>
        <w:rPr>
          <w:rFonts w:ascii="Minion Pro" w:hAnsi="Minion Pro"/>
          <w:b w:val="0"/>
          <w:sz w:val="20"/>
        </w:rPr>
        <w:t>Operating</w:t>
      </w:r>
      <w:r>
        <w:rPr>
          <w:rFonts w:ascii="Minion Pro" w:hAnsi="Minion Pro"/>
          <w:b w:val="0"/>
          <w:sz w:val="20"/>
        </w:rPr>
        <w:t xml:space="preserve"> </w:t>
      </w:r>
      <w:r>
        <w:rPr>
          <w:rFonts w:ascii="Minion Pro" w:hAnsi="Minion Pro"/>
          <w:b w:val="0"/>
          <w:sz w:val="20"/>
        </w:rPr>
        <w:t>Characteristic</w:t>
      </w:r>
      <w:r>
        <w:rPr>
          <w:rFonts w:ascii="Minion Pro" w:hAnsi="Minion Pro"/>
          <w:b w:val="0"/>
          <w:sz w:val="20"/>
        </w:rPr>
        <w:t xml:space="preserve"> </w:t>
      </w:r>
      <w:r>
        <w:rPr>
          <w:rFonts w:ascii="Minion Pro" w:hAnsi="Minion Pro"/>
          <w:b w:val="0"/>
          <w:sz w:val="20"/>
        </w:rPr>
        <w:t>Curve</w:t>
      </w:r>
      <w:r>
        <w:rPr>
          <w:rFonts w:ascii="Minion Pro" w:hAnsi="Minion Pro"/>
          <w:b w:val="0"/>
          <w:sz w:val="20"/>
        </w:rPr>
        <w:t xml:space="preserve"> (</w:t>
      </w:r>
      <w:r>
        <w:rPr>
          <w:rFonts w:ascii="Minion Pro" w:hAnsi="Minion Pro"/>
          <w:b w:val="0"/>
          <w:sz w:val="20"/>
        </w:rPr>
        <w:t>AUROC</w:t>
      </w:r>
      <w:r>
        <w:rPr>
          <w:rFonts w:ascii="Minion Pro" w:hAnsi="Minion Pro"/>
          <w:b w:val="0"/>
          <w:sz w:val="20"/>
        </w:rPr>
        <w:t>)</w:t>
      </w:r>
      <w:r>
        <w:rPr>
          <w:rFonts w:ascii="Minion Pro" w:hAnsi="Minion Pro"/>
          <w:b w:val="0"/>
          <w:sz w:val="20"/>
        </w:rPr>
      </w:r>
      <w:r>
        <w:rPr>
          <w:rFonts w:ascii="Minion Pro" w:hAnsi="Minion Pro"/>
          <w:b w:val="0"/>
          <w:sz w:val="20"/>
        </w:rPr>
      </w:r>
      <w:r>
        <w:rPr>
          <w:rFonts w:ascii="Minion Pro" w:hAnsi="Minion Pro"/>
          <w:b w:val="0"/>
          <w:sz w:val="20"/>
        </w:rPr>
        <w:t>and</w:t>
      </w:r>
      <w:r>
        <w:rPr>
          <w:rFonts w:ascii="Minion Pro" w:hAnsi="Minion Pro"/>
          <w:b w:val="0"/>
          <w:sz w:val="20"/>
        </w:rPr>
        <w:t xml:space="preserve"> </w:t>
      </w:r>
      <w:r>
        <w:rPr>
          <w:rFonts w:ascii="Minion Pro" w:hAnsi="Minion Pro"/>
          <w:b w:val="0"/>
          <w:sz w:val="20"/>
        </w:rPr>
        <w:t>other</w:t>
      </w:r>
      <w:r>
        <w:rPr>
          <w:rFonts w:ascii="Minion Pro" w:hAnsi="Minion Pro"/>
          <w:b w:val="0"/>
          <w:sz w:val="20"/>
        </w:rPr>
        <w:t xml:space="preserve"> </w:t>
      </w:r>
      <w:r>
        <w:rPr>
          <w:rFonts w:ascii="Minion Pro" w:hAnsi="Minion Pro"/>
          <w:b w:val="0"/>
          <w:sz w:val="20"/>
        </w:rPr>
        <w:t>evaluation</w:t>
      </w:r>
      <w:r>
        <w:rPr>
          <w:rFonts w:ascii="Minion Pro" w:hAnsi="Minion Pro"/>
          <w:b w:val="0"/>
          <w:sz w:val="20"/>
        </w:rPr>
        <w:t xml:space="preserve"> </w:t>
      </w:r>
      <w:r>
        <w:rPr>
          <w:rFonts w:ascii="Minion Pro" w:hAnsi="Minion Pro"/>
          <w:b w:val="0"/>
          <w:sz w:val="20"/>
        </w:rPr>
        <w:t>metrics</w:t>
      </w:r>
      <w:r>
        <w:rPr>
          <w:rFonts w:ascii="Minion Pro" w:hAnsi="Minion Pro"/>
          <w:b w:val="0"/>
          <w:sz w:val="20"/>
        </w:rPr>
        <w:t xml:space="preserve"> </w:t>
      </w:r>
      <w:r>
        <w:rPr>
          <w:rFonts w:ascii="Minion Pro" w:hAnsi="Minion Pro"/>
          <w:b w:val="0"/>
          <w:sz w:val="20"/>
        </w:rPr>
        <w:t>were</w:t>
      </w:r>
      <w:r>
        <w:rPr>
          <w:rFonts w:ascii="Minion Pro" w:hAnsi="Minion Pro"/>
          <w:b w:val="0"/>
          <w:sz w:val="20"/>
        </w:rPr>
        <w:t xml:space="preserve"> </w:t>
      </w:r>
      <w:r>
        <w:rPr>
          <w:rFonts w:ascii="Minion Pro" w:hAnsi="Minion Pro"/>
          <w:b w:val="0"/>
          <w:sz w:val="20"/>
        </w:rPr>
        <w:t>compared</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achieved</w:t>
      </w:r>
      <w:r>
        <w:rPr>
          <w:rFonts w:ascii="Minion Pro" w:hAnsi="Minion Pro"/>
          <w:b w:val="0"/>
          <w:sz w:val="20"/>
        </w:rPr>
        <w:t xml:space="preserve"> </w:t>
      </w:r>
      <w:r>
        <w:rPr>
          <w:rFonts w:ascii="Minion Pro" w:hAnsi="Minion Pro"/>
          <w:b w:val="0"/>
          <w:sz w:val="20"/>
        </w:rPr>
        <w:t>results</w:t>
      </w:r>
      <w:r>
        <w:rPr>
          <w:rFonts w:ascii="Minion Pro" w:hAnsi="Minion Pro"/>
          <w:b w:val="0"/>
          <w:sz w:val="20"/>
        </w:rPr>
        <w:t xml:space="preserve"> </w:t>
      </w:r>
      <w:r>
        <w:rPr>
          <w:rFonts w:ascii="Minion Pro" w:hAnsi="Minion Pro"/>
          <w:b w:val="0"/>
          <w:sz w:val="20"/>
        </w:rPr>
        <w:t>from</w:t>
      </w:r>
      <w:r>
        <w:rPr>
          <w:rFonts w:ascii="Minion Pro" w:hAnsi="Minion Pro"/>
          <w:b w:val="0"/>
          <w:sz w:val="20"/>
        </w:rPr>
        <w:t xml:space="preserve"> </w:t>
      </w:r>
      <w:r>
        <w:rPr>
          <w:rFonts w:ascii="Minion Pro" w:hAnsi="Minion Pro"/>
          <w:b w:val="0"/>
          <w:sz w:val="20"/>
        </w:rPr>
        <w:t>all</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algorithms</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compared</w:t>
      </w:r>
      <w:r>
        <w:rPr>
          <w:rFonts w:ascii="Minion Pro" w:hAnsi="Minion Pro"/>
          <w:b w:val="0"/>
          <w:sz w:val="20"/>
        </w:rPr>
        <w:t xml:space="preserve"> </w:t>
      </w:r>
      <w:r>
        <w:rPr>
          <w:rFonts w:ascii="Minion Pro" w:hAnsi="Minion Pro"/>
          <w:b w:val="0"/>
          <w:sz w:val="20"/>
        </w:rPr>
        <w:t>them</w:t>
      </w:r>
      <w:r>
        <w:rPr>
          <w:rFonts w:ascii="Minion Pro" w:hAnsi="Minion Pro"/>
          <w:b w:val="0"/>
          <w:sz w:val="20"/>
        </w:rPr>
        <w:t xml:space="preserve"> </w:t>
      </w:r>
      <w:r>
        <w:rPr>
          <w:rFonts w:ascii="Minion Pro" w:hAnsi="Minion Pro"/>
          <w:b w:val="0"/>
          <w:sz w:val="20"/>
        </w:rPr>
        <w:t>with</w:t>
      </w:r>
      <w:r>
        <w:rPr>
          <w:rFonts w:ascii="Minion Pro" w:hAnsi="Minion Pro"/>
          <w:b w:val="0"/>
          <w:sz w:val="20"/>
        </w:rPr>
        <w:t xml:space="preserve"> </w:t>
      </w:r>
      <w:r>
        <w:rPr>
          <w:rFonts w:ascii="Minion Pro" w:hAnsi="Minion Pro"/>
          <w:b w:val="0"/>
          <w:sz w:val="20"/>
        </w:rPr>
        <w:t>Osteoporosis</w:t>
      </w:r>
      <w:r>
        <w:rPr>
          <w:rFonts w:ascii="Minion Pro" w:hAnsi="Minion Pro"/>
          <w:b w:val="0"/>
          <w:sz w:val="20"/>
        </w:rPr>
        <w:t>Self</w:t>
      </w:r>
      <w:r>
        <w:rPr>
          <w:rFonts w:ascii="Minion Pro" w:hAnsi="Minion Pro"/>
          <w:b w:val="0"/>
          <w:sz w:val="20"/>
        </w:rPr>
        <w:t xml:space="preserve"> </w:t>
      </w:r>
      <w:r>
        <w:rPr>
          <w:rFonts w:ascii="Minion Pro" w:hAnsi="Minion Pro"/>
          <w:b w:val="0"/>
          <w:sz w:val="20"/>
        </w:rPr>
        <w:t>Assessment</w:t>
      </w:r>
      <w:r>
        <w:rPr>
          <w:rFonts w:ascii="Minion Pro" w:hAnsi="Minion Pro"/>
          <w:b w:val="0"/>
          <w:sz w:val="20"/>
        </w:rPr>
        <w:t>Tool</w:t>
      </w:r>
      <w:r>
        <w:rPr>
          <w:rFonts w:ascii="Minion Pro" w:hAnsi="Minion Pro"/>
          <w:b w:val="0"/>
          <w:sz w:val="20"/>
        </w:rPr>
        <w:t xml:space="preserve"> </w:t>
      </w:r>
      <w:r>
        <w:rPr>
          <w:rFonts w:ascii="Minion Pro" w:hAnsi="Minion Pro"/>
          <w:b w:val="0"/>
          <w:sz w:val="20"/>
        </w:rPr>
        <w:t>for</w:t>
      </w:r>
      <w:r>
        <w:rPr>
          <w:rFonts w:ascii="Minion Pro" w:hAnsi="Minion Pro"/>
          <w:b w:val="0"/>
          <w:sz w:val="20"/>
        </w:rPr>
        <w:t xml:space="preserve"> </w:t>
      </w:r>
      <w:r>
        <w:rPr>
          <w:rFonts w:ascii="Minion Pro" w:hAnsi="Minion Pro"/>
          <w:b w:val="0"/>
          <w:sz w:val="20"/>
        </w:rPr>
        <w:t>Asians</w:t>
      </w:r>
      <w:r>
        <w:rPr>
          <w:rFonts w:ascii="Minion Pro" w:hAnsi="Minion Pro"/>
          <w:b w:val="0"/>
          <w:sz w:val="20"/>
        </w:rPr>
        <w:t xml:space="preserve"> (</w:t>
      </w:r>
      <w:r>
        <w:rPr>
          <w:rFonts w:ascii="Minion Pro" w:hAnsi="Minion Pro"/>
          <w:b w:val="0"/>
          <w:sz w:val="20"/>
        </w:rPr>
        <w:t>OSTA</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results</w:t>
      </w:r>
      <w:r>
        <w:rPr>
          <w:rFonts w:ascii="Minion Pro" w:hAnsi="Minion Pro"/>
          <w:b w:val="0"/>
          <w:sz w:val="20"/>
        </w:rPr>
        <w:t xml:space="preserve"> </w:t>
      </w:r>
      <w:r>
        <w:rPr>
          <w:rFonts w:ascii="Minion Pro" w:hAnsi="Minion Pro"/>
          <w:b w:val="0"/>
          <w:sz w:val="20"/>
        </w:rPr>
        <w:t>were</w:t>
      </w:r>
      <w:r>
        <w:rPr>
          <w:rFonts w:ascii="Minion Pro" w:hAnsi="Minion Pro"/>
          <w:b w:val="0"/>
          <w:sz w:val="20"/>
        </w:rPr>
        <w:t xml:space="preserve"> </w:t>
      </w:r>
      <w:r>
        <w:rPr>
          <w:rFonts w:ascii="Minion Pro" w:hAnsi="Minion Pro"/>
          <w:b w:val="0"/>
          <w:sz w:val="20"/>
        </w:rPr>
        <w:t>noticeably</w:t>
      </w:r>
      <w:r>
        <w:rPr>
          <w:rFonts w:ascii="Minion Pro" w:hAnsi="Minion Pro"/>
          <w:b w:val="0"/>
          <w:sz w:val="20"/>
        </w:rPr>
        <w:t xml:space="preserve"> </w:t>
      </w:r>
      <w:r>
        <w:rPr>
          <w:rFonts w:ascii="Minion Pro" w:hAnsi="Minion Pro"/>
          <w:b w:val="0"/>
          <w:sz w:val="20"/>
        </w:rPr>
        <w:t>better</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more</w:t>
      </w:r>
      <w:r>
        <w:rPr>
          <w:rFonts w:ascii="Minion Pro" w:hAnsi="Minion Pro"/>
          <w:b w:val="0"/>
          <w:sz w:val="20"/>
        </w:rPr>
        <w:t xml:space="preserve"> </w:t>
      </w:r>
      <w:r>
        <w:rPr>
          <w:rFonts w:ascii="Minion Pro" w:hAnsi="Minion Pro"/>
          <w:b w:val="0"/>
          <w:sz w:val="20"/>
        </w:rPr>
        <w:t>reliable</w:t>
      </w:r>
      <w:r>
        <w:rPr>
          <w:rFonts w:ascii="Minion Pro" w:hAnsi="Minion Pro"/>
          <w:b w:val="0"/>
          <w:sz w:val="20"/>
        </w:rPr>
        <w:t xml:space="preserve"> </w:t>
      </w:r>
      <w:r>
        <w:rPr>
          <w:rFonts w:ascii="Minion Pro" w:hAnsi="Minion Pro"/>
          <w:b w:val="0"/>
          <w:sz w:val="20"/>
        </w:rPr>
        <w:t>than</w:t>
      </w:r>
      <w:r>
        <w:rPr>
          <w:rFonts w:ascii="Minion Pro" w:hAnsi="Minion Pro"/>
          <w:b w:val="0"/>
          <w:sz w:val="20"/>
        </w:rPr>
        <w:t xml:space="preserve"> </w:t>
      </w:r>
      <w:r>
        <w:rPr>
          <w:rFonts w:ascii="Minion Pro" w:hAnsi="Minion Pro"/>
          <w:b w:val="0"/>
          <w:sz w:val="20"/>
        </w:rPr>
        <w:t>existing</w:t>
      </w:r>
      <w:r>
        <w:rPr>
          <w:rFonts w:ascii="Minion Pro" w:hAnsi="Minion Pro"/>
          <w:b w:val="0"/>
          <w:sz w:val="20"/>
        </w:rPr>
        <w:t xml:space="preserve"> </w:t>
      </w:r>
      <w:r>
        <w:rPr>
          <w:rFonts w:ascii="Minion Pro" w:hAnsi="Minion Pro"/>
          <w:b w:val="0"/>
          <w:sz w:val="20"/>
        </w:rPr>
        <w:t>systems</w:t>
      </w:r>
      <w:r>
        <w:rPr>
          <w:rFonts w:ascii="Minion Pro" w:hAnsi="Minion Pro"/>
          <w:b w:val="0"/>
          <w:sz w:val="20"/>
        </w:rPr>
        <w:t xml:space="preserve"> </w:t>
      </w:r>
      <w:r>
        <w:rPr>
          <w:rFonts w:ascii="Minion Pro" w:hAnsi="Minion Pro"/>
          <w:b w:val="0"/>
          <w:sz w:val="20"/>
        </w:rPr>
        <w:t>due</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involvement</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ML</w:t>
      </w:r>
      <w:r>
        <w:rPr>
          <w:rFonts w:ascii="Minion Pro" w:hAnsi="Minion Pro"/>
          <w:b w:val="0"/>
          <w:sz w:val="20"/>
        </w:rPr>
        <w:t xml:space="preserve">. </w:t>
      </w:r>
      <w:r>
        <w:rPr>
          <w:rFonts w:ascii="Minion Pro" w:hAnsi="Minion Pro"/>
          <w:b w:val="0"/>
          <w:sz w:val="20"/>
        </w:rPr>
        <w:t>Using</w:t>
      </w:r>
      <w:r>
        <w:rPr>
          <w:rFonts w:ascii="Minion Pro" w:hAnsi="Minion Pro"/>
          <w:b w:val="0"/>
          <w:sz w:val="20"/>
        </w:rPr>
        <w:t xml:space="preserve"> </w:t>
      </w:r>
      <w:r>
        <w:rPr>
          <w:rFonts w:ascii="Minion Pro" w:hAnsi="Minion Pro"/>
          <w:b w:val="0"/>
          <w:sz w:val="20"/>
        </w:rPr>
        <w:t>machine</w:t>
      </w:r>
      <w:r>
        <w:rPr>
          <w:rFonts w:ascii="Minion Pro" w:hAnsi="Minion Pro"/>
          <w:b w:val="0"/>
          <w:sz w:val="20"/>
        </w:rPr>
        <w:t xml:space="preserve"> </w:t>
      </w:r>
      <w:r>
        <w:rPr>
          <w:rFonts w:ascii="Minion Pro" w:hAnsi="Minion Pro"/>
          <w:b w:val="0"/>
          <w:sz w:val="20"/>
        </w:rPr>
        <w:t>learning</w:t>
      </w:r>
      <w:r>
        <w:rPr>
          <w:rFonts w:ascii="Minion Pro" w:hAnsi="Minion Pro"/>
          <w:b w:val="0"/>
          <w:sz w:val="20"/>
        </w:rPr>
        <w:t xml:space="preserve"> </w:t>
      </w:r>
      <w:r>
        <w:rPr>
          <w:rFonts w:ascii="Minion Pro" w:hAnsi="Minion Pro"/>
          <w:b w:val="0"/>
          <w:sz w:val="20"/>
        </w:rPr>
        <w:t>techniques</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predict</w:t>
      </w:r>
      <w:r>
        <w:rPr>
          <w:rFonts w:ascii="Minion Pro" w:hAnsi="Minion Pro"/>
          <w:b w:val="0"/>
          <w:sz w:val="20"/>
        </w:rPr>
        <w:t xml:space="preserve"> </w:t>
      </w:r>
      <w:r>
        <w:rPr>
          <w:rFonts w:ascii="Minion Pro" w:hAnsi="Minion Pro"/>
          <w:b w:val="0"/>
          <w:sz w:val="20"/>
        </w:rPr>
        <w:t>these</w:t>
      </w:r>
      <w:r>
        <w:rPr>
          <w:rFonts w:ascii="Minion Pro" w:hAnsi="Minion Pro"/>
          <w:b w:val="0"/>
          <w:sz w:val="20"/>
        </w:rPr>
        <w:t xml:space="preserve"> </w:t>
      </w:r>
      <w:r>
        <w:rPr>
          <w:rFonts w:ascii="Minion Pro" w:hAnsi="Minion Pro"/>
          <w:b w:val="0"/>
          <w:sz w:val="20"/>
        </w:rPr>
        <w:t>types</w:t>
      </w:r>
      <w:r>
        <w:rPr>
          <w:rFonts w:ascii="Minion Pro" w:hAnsi="Minion Pro"/>
          <w:b w:val="0"/>
          <w:sz w:val="20"/>
        </w:rPr>
        <w:t xml:space="preserve"> </w:t>
      </w:r>
      <w:r>
        <w:rPr>
          <w:rFonts w:ascii="Minion Pro" w:hAnsi="Minion Pro"/>
          <w:b w:val="0"/>
          <w:sz w:val="20"/>
        </w:rPr>
        <w:t>of</w:t>
      </w:r>
      <w:r>
        <w:rPr>
          <w:rFonts w:ascii="Minion Pro" w:hAnsi="Minion Pro"/>
          <w:b w:val="0"/>
          <w:sz w:val="20"/>
        </w:rPr>
        <w:t xml:space="preserve"> </w:t>
      </w:r>
      <w:r>
        <w:rPr>
          <w:rFonts w:ascii="Minion Pro" w:hAnsi="Minion Pro"/>
          <w:b w:val="0"/>
          <w:sz w:val="20"/>
        </w:rPr>
        <w:t>diseases</w:t>
      </w:r>
      <w:r>
        <w:rPr>
          <w:rFonts w:ascii="Minion Pro" w:hAnsi="Minion Pro"/>
          <w:b w:val="0"/>
          <w:sz w:val="20"/>
        </w:rPr>
        <w:t xml:space="preserve"> </w:t>
      </w:r>
      <w:r>
        <w:rPr>
          <w:rFonts w:ascii="Minion Pro" w:hAnsi="Minion Pro"/>
          <w:b w:val="0"/>
          <w:sz w:val="20"/>
        </w:rPr>
        <w:t>is</w:t>
      </w:r>
      <w:r>
        <w:rPr>
          <w:rFonts w:ascii="Minion Pro" w:hAnsi="Minion Pro"/>
          <w:b w:val="0"/>
          <w:sz w:val="20"/>
        </w:rPr>
        <w:t xml:space="preserve"> </w:t>
      </w:r>
      <w:r>
        <w:rPr>
          <w:rFonts w:ascii="Minion Pro" w:hAnsi="Minion Pro"/>
          <w:b w:val="0"/>
          <w:sz w:val="20"/>
        </w:rPr>
        <w:t>better</w:t>
      </w:r>
      <w:r>
        <w:rPr>
          <w:rFonts w:ascii="Minion Pro" w:hAnsi="Minion Pro"/>
          <w:b w:val="0"/>
          <w:sz w:val="20"/>
        </w:rPr>
        <w:t xml:space="preserve"> </w:t>
      </w:r>
      <w:r>
        <w:rPr>
          <w:rFonts w:ascii="Minion Pro" w:hAnsi="Minion Pro"/>
          <w:b w:val="0"/>
          <w:sz w:val="20"/>
        </w:rPr>
        <w:t>because</w:t>
      </w:r>
      <w:r>
        <w:rPr>
          <w:rFonts w:ascii="Minion Pro" w:hAnsi="Minion Pro"/>
          <w:b w:val="0"/>
          <w:sz w:val="20"/>
        </w:rPr>
        <w:t xml:space="preserve"> </w:t>
      </w:r>
      <w:r>
        <w:rPr>
          <w:rFonts w:ascii="Minion Pro" w:hAnsi="Minion Pro"/>
          <w:b w:val="0"/>
          <w:sz w:val="20"/>
        </w:rPr>
        <w:t>physicians</w:t>
      </w:r>
      <w:r>
        <w:rPr>
          <w:rFonts w:ascii="Minion Pro" w:hAnsi="Minion Pro"/>
          <w:b w:val="0"/>
          <w:sz w:val="20"/>
        </w:rPr>
        <w:t xml:space="preserve"> </w:t>
      </w:r>
      <w:r>
        <w:rPr>
          <w:rFonts w:ascii="Minion Pro" w:hAnsi="Minion Pro"/>
          <w:b w:val="0"/>
          <w:sz w:val="20"/>
        </w:rPr>
        <w:t>and</w:t>
      </w:r>
      <w:r>
        <w:rPr>
          <w:rFonts w:ascii="Minion Pro" w:hAnsi="Minion Pro"/>
          <w:b w:val="0"/>
          <w:sz w:val="20"/>
        </w:rPr>
        <w:t xml:space="preserve"> </w:t>
      </w:r>
      <w:r>
        <w:rPr>
          <w:rFonts w:ascii="Minion Pro" w:hAnsi="Minion Pro"/>
          <w:b w:val="0"/>
          <w:sz w:val="20"/>
        </w:rPr>
        <w:t>patients</w:t>
      </w:r>
      <w:r>
        <w:rPr>
          <w:rFonts w:ascii="Minion Pro" w:hAnsi="Minion Pro"/>
          <w:b w:val="0"/>
          <w:sz w:val="20"/>
        </w:rPr>
        <w:t xml:space="preserve"> </w:t>
      </w:r>
      <w:r>
        <w:rPr>
          <w:rFonts w:ascii="Minion Pro" w:hAnsi="Minion Pro"/>
          <w:b w:val="0"/>
          <w:sz w:val="20"/>
        </w:rPr>
        <w:t>can</w:t>
      </w:r>
      <w:r>
        <w:rPr>
          <w:rFonts w:ascii="Minion Pro" w:hAnsi="Minion Pro"/>
          <w:b w:val="0"/>
          <w:sz w:val="20"/>
        </w:rPr>
        <w:t xml:space="preserve"> </w:t>
      </w:r>
      <w:r>
        <w:rPr>
          <w:rFonts w:ascii="Minion Pro" w:hAnsi="Minion Pro"/>
          <w:b w:val="0"/>
          <w:sz w:val="20"/>
        </w:rPr>
        <w:t>take</w:t>
      </w:r>
      <w:r>
        <w:rPr>
          <w:rFonts w:ascii="Minion Pro" w:hAnsi="Minion Pro"/>
          <w:b w:val="0"/>
          <w:sz w:val="20"/>
        </w:rPr>
        <w:t xml:space="preserve"> </w:t>
      </w:r>
      <w:r>
        <w:rPr>
          <w:rFonts w:ascii="Minion Pro" w:hAnsi="Minion Pro"/>
          <w:b w:val="0"/>
          <w:sz w:val="20"/>
        </w:rPr>
        <w:t>early</w:t>
      </w:r>
      <w:r>
        <w:rPr>
          <w:rFonts w:ascii="Minion Pro" w:hAnsi="Minion Pro"/>
          <w:b w:val="0"/>
          <w:sz w:val="20"/>
        </w:rPr>
        <w:t xml:space="preserve"> </w:t>
      </w:r>
      <w:r>
        <w:rPr>
          <w:rFonts w:ascii="Minion Pro" w:hAnsi="Minion Pro"/>
          <w:b w:val="0"/>
          <w:sz w:val="20"/>
        </w:rPr>
        <w:t>action</w:t>
      </w:r>
      <w:r>
        <w:rPr>
          <w:rFonts w:ascii="Minion Pro" w:hAnsi="Minion Pro"/>
          <w:b w:val="0"/>
          <w:sz w:val="20"/>
        </w:rPr>
        <w:t xml:space="preserve"> </w:t>
      </w:r>
      <w:r>
        <w:rPr>
          <w:rFonts w:ascii="Minion Pro" w:hAnsi="Minion Pro"/>
          <w:b w:val="0"/>
          <w:sz w:val="20"/>
        </w:rPr>
        <w:t>to</w:t>
      </w:r>
      <w:r>
        <w:rPr>
          <w:rFonts w:ascii="Minion Pro" w:hAnsi="Minion Pro"/>
          <w:b w:val="0"/>
          <w:sz w:val="20"/>
        </w:rPr>
        <w:t xml:space="preserve"> </w:t>
      </w:r>
      <w:r>
        <w:rPr>
          <w:rFonts w:ascii="Minion Pro" w:hAnsi="Minion Pro"/>
          <w:b w:val="0"/>
          <w:sz w:val="20"/>
        </w:rPr>
        <w:t>prevent</w:t>
      </w:r>
      <w:r>
        <w:rPr>
          <w:rFonts w:ascii="Minion Pro" w:hAnsi="Minion Pro"/>
          <w:b w:val="0"/>
          <w:sz w:val="20"/>
        </w:rPr>
        <w:t xml:space="preserve"> </w:t>
      </w:r>
      <w:r>
        <w:rPr>
          <w:rFonts w:ascii="Minion Pro" w:hAnsi="Minion Pro"/>
          <w:b w:val="0"/>
          <w:sz w:val="20"/>
        </w:rPr>
        <w:t>the</w:t>
      </w:r>
      <w:r>
        <w:rPr>
          <w:rFonts w:ascii="Minion Pro" w:hAnsi="Minion Pro"/>
          <w:b w:val="0"/>
          <w:sz w:val="20"/>
        </w:rPr>
        <w:t xml:space="preserve"> </w:t>
      </w:r>
      <w:r>
        <w:rPr>
          <w:rFonts w:ascii="Minion Pro" w:hAnsi="Minion Pro"/>
          <w:b w:val="0"/>
          <w:sz w:val="20"/>
        </w:rPr>
        <w:t>consequences</w:t>
      </w:r>
      <w:r>
        <w:rPr>
          <w:rFonts w:ascii="Minion Pro" w:hAnsi="Minion Pro"/>
          <w:b w:val="0"/>
          <w:sz w:val="20"/>
        </w:rPr>
        <w:t xml:space="preserve"> </w:t>
      </w:r>
      <w:r>
        <w:rPr>
          <w:rFonts w:ascii="Minion Pro" w:hAnsi="Minion Pro"/>
          <w:b w:val="0"/>
          <w:sz w:val="20"/>
        </w:rPr>
        <w:t>in</w:t>
      </w:r>
      <w:r>
        <w:rPr>
          <w:rFonts w:ascii="Minion Pro" w:hAnsi="Minion Pro"/>
          <w:b w:val="0"/>
          <w:sz w:val="20"/>
        </w:rPr>
        <w:t xml:space="preserve"> </w:t>
      </w:r>
      <w:r>
        <w:rPr>
          <w:rFonts w:ascii="Minion Pro" w:hAnsi="Minion Pro"/>
          <w:b w:val="0"/>
          <w:sz w:val="20"/>
        </w:rPr>
        <w:t>advance</w:t>
      </w:r>
      <w:r>
        <w:rPr>
          <w:rFonts w:ascii="Minion Pro" w:hAnsi="Minion Pro"/>
          <w:b w:val="0"/>
          <w:sz w:val="20"/>
        </w:rPr>
      </w:r>
      <w:r>
        <w:rPr>
          <w:rFonts w:ascii="Minion Pro" w:hAnsi="Minion Pro"/>
          <w:b w:val="0"/>
          <w:sz w:val="20"/>
        </w:rPr>
        <w:t>.</w:t>
      </w:r>
      <w:r>
        <w:rPr>
          <w:rFonts w:ascii="Minion Pro" w:hAnsi="Minion Pro"/>
          <w:b w:val="0"/>
          <w:sz w:val="20"/>
        </w:rPr>
      </w:r>
    </w:p>
    <w:p w14:paraId="5303C62A" w14:textId="77777777" w:rsidR="00AD38A4" w:rsidRPr="0027588E" w:rsidRDefault="00AD38A4" w:rsidP="00AD38A4">
      <w:pPr>
        <w:pStyle w:val="NoSpacing"/>
        <w:keepNext w:val="0"/>
        <w:keepLines w:val="0"/>
        <w:widowControl w:val="0"/>
        <w:spacing w:before="0" w:after="0"/>
        <w:ind w:left="0" w:right="0" w:firstLine="0"/>
        <w:jc w:val="both"/>
        <w:rPr>
          <w:rFonts w:ascii="Times New Roman" w:eastAsia="SimSun" w:hAnsi="Times New Roman" w:cs="Times New Roman"/>
          <w:sz w:val="18"/>
          <w:szCs w:val="18"/>
          <w:lang w:val="en-GB" w:eastAsia="zh-CN"/>
        </w:rPr>
      </w:pPr>
    </w:p>
    <w:p w14:paraId="52D6127F" w14:textId="77777777" w:rsidR="005B55D6" w:rsidRPr="00446ED6" w:rsidRDefault="00AD38A4" w:rsidP="005B55D6">
      <w:pPr>
        <w:pStyle w:val="IJASEITAbtract"/>
        <w:keepNext w:val="0"/>
        <w:keepLines w:val="0"/>
        <w:widowControl w:val="0"/>
        <w:spacing w:before="0" w:after="0"/>
        <w:ind w:left="0" w:right="0" w:firstLine="0"/>
        <w:jc w:val="both"/>
        <w:rPr>
          <w:b w:val="0"/>
          <w:i/>
        </w:rPr>
      </w:pPr>
      <w:r>
        <w:rPr>
          <w:rFonts w:ascii="Minion Pro" w:hAnsi="Minion Pro"/>
          <w:b/>
          <w:sz w:val="20"/>
        </w:rPr>
        <w:t>KEYWORDS</w:t>
      </w:r>
      <w:r>
        <w:rPr>
          <w:rFonts w:ascii="Minion Pro" w:hAnsi="Minion Pro"/>
          <w:b w:val="0"/>
          <w:sz w:val="20"/>
        </w:rPr>
        <w:t>:</w:t>
      </w:r>
      <w:r>
        <w:rPr>
          <w:rFonts w:ascii="Minion Pro" w:hAnsi="Minion Pro"/>
          <w:b w:val="0"/>
          <w:sz w:val="20"/>
        </w:rPr>
      </w:r>
      <w:r>
        <w:rPr>
          <w:rFonts w:ascii="Minion Pro" w:hAnsi="Minion Pro"/>
          <w:b w:val="0"/>
          <w:sz w:val="20"/>
        </w:rPr>
        <w:t>Osteoporosis</w:t>
      </w:r>
      <w:r>
        <w:rPr>
          <w:rFonts w:ascii="Minion Pro" w:hAnsi="Minion Pro"/>
          <w:b w:val="0"/>
          <w:sz w:val="20"/>
        </w:rPr>
        <w:t>,</w:t>
      </w:r>
      <w:r>
        <w:rPr>
          <w:rFonts w:ascii="Minion Pro" w:hAnsi="Minion Pro"/>
          <w:b w:val="0"/>
          <w:sz w:val="20"/>
        </w:rPr>
      </w:r>
      <w:r>
        <w:rPr>
          <w:rFonts w:ascii="Minion Pro" w:hAnsi="Minion Pro"/>
          <w:b w:val="0"/>
          <w:sz w:val="20"/>
        </w:rPr>
        <w:t>Classification</w:t>
      </w:r>
      <w:r>
        <w:rPr>
          <w:rFonts w:ascii="Minion Pro" w:hAnsi="Minion Pro"/>
          <w:b w:val="0"/>
          <w:sz w:val="20"/>
        </w:rPr>
      </w:r>
      <w:r>
        <w:rPr>
          <w:rFonts w:ascii="Minion Pro" w:hAnsi="Minion Pro"/>
          <w:b w:val="0"/>
          <w:sz w:val="20"/>
        </w:rPr>
        <w:t>,</w:t>
      </w:r>
      <w:r>
        <w:rPr>
          <w:rFonts w:ascii="Minion Pro" w:hAnsi="Minion Pro"/>
          <w:b w:val="0"/>
          <w:sz w:val="20"/>
        </w:rPr>
      </w:r>
      <w:r>
        <w:rPr>
          <w:rFonts w:ascii="Minion Pro" w:hAnsi="Minion Pro"/>
          <w:b w:val="0"/>
          <w:sz w:val="20"/>
        </w:rPr>
        <w:t>Machine</w:t>
      </w:r>
      <w:r>
        <w:rPr>
          <w:rFonts w:ascii="Minion Pro" w:hAnsi="Minion Pro"/>
          <w:b w:val="0"/>
          <w:sz w:val="20"/>
        </w:rPr>
        <w:t xml:space="preserve"> </w:t>
      </w:r>
      <w:r>
        <w:rPr>
          <w:rFonts w:ascii="Minion Pro" w:hAnsi="Minion Pro"/>
          <w:b w:val="0"/>
          <w:sz w:val="20"/>
        </w:rPr>
        <w:t>Learning</w:t>
      </w:r>
      <w:r>
        <w:rPr>
          <w:rFonts w:ascii="Minion Pro" w:hAnsi="Minion Pro"/>
          <w:b w:val="0"/>
          <w:sz w:val="20"/>
        </w:rPr>
        <w:t>,</w:t>
      </w:r>
      <w:r>
        <w:rPr>
          <w:rFonts w:ascii="Minion Pro" w:hAnsi="Minion Pro"/>
          <w:b w:val="0"/>
          <w:sz w:val="20"/>
        </w:rPr>
      </w:r>
      <w:r>
        <w:rPr>
          <w:rFonts w:ascii="Minion Pro" w:hAnsi="Minion Pro"/>
          <w:b w:val="0"/>
          <w:sz w:val="20"/>
        </w:rPr>
        <w:t>Prediction</w:t>
      </w:r>
      <w:r>
        <w:rPr>
          <w:rFonts w:ascii="Minion Pro" w:hAnsi="Minion Pro"/>
          <w:b w:val="0"/>
          <w:sz w:val="20"/>
        </w:rPr>
        <w:t xml:space="preserve">, </w:t>
      </w:r>
      <w:r>
        <w:rPr>
          <w:rFonts w:ascii="Minion Pro" w:hAnsi="Minion Pro"/>
          <w:b w:val="0"/>
          <w:sz w:val="20"/>
        </w:rPr>
        <w:t>Osteoporotic</w:t>
      </w:r>
      <w:r>
        <w:rPr>
          <w:rFonts w:ascii="Minion Pro" w:hAnsi="Minion Pro"/>
          <w:b w:val="0"/>
          <w:sz w:val="20"/>
        </w:rPr>
        <w:t xml:space="preserve"> </w:t>
      </w:r>
      <w:r>
        <w:rPr>
          <w:rFonts w:ascii="Minion Pro" w:hAnsi="Minion Pro"/>
          <w:b w:val="0"/>
          <w:sz w:val="20"/>
        </w:rPr>
        <w:t>Fractures</w:t>
      </w:r>
      <w:r>
        <w:rPr>
          <w:rFonts w:ascii="Minion Pro" w:hAnsi="Minion Pro"/>
          <w:b w:val="0"/>
          <w:sz w:val="20"/>
        </w:rPr>
      </w:r>
      <w:r>
        <w:rPr>
          <w:rFonts w:ascii="Minion Pro" w:hAnsi="Minion Pro"/>
          <w:b w:val="0"/>
          <w:sz w:val="20"/>
        </w:rPr>
        <w:t>.</w:t>
      </w:r>
      <w:r>
        <w:rPr>
          <w:rFonts w:ascii="Minion Pro" w:hAnsi="Minion Pro"/>
          <w:b w:val="0"/>
          <w:sz w:val="20"/>
        </w:rPr>
      </w:r>
    </w:p>
    <w:p w14:paraId="799078C9" w14:textId="77777777" w:rsidR="00AD38A4" w:rsidRPr="0027588E" w:rsidRDefault="00AD38A4" w:rsidP="00920862">
      <w:pPr>
        <w:pStyle w:val="keywords"/>
        <w:keepNext w:val="0"/>
        <w:keepLines w:val="0"/>
        <w:widowControl w:val="0"/>
        <w:pBdr>
          <w:bottom w:val="single" w:sz="6" w:space="1" w:color="auto"/>
        </w:pBdr>
        <w:spacing w:before="0" w:after="0"/>
        <w:ind w:left="0" w:right="0" w:firstLine="0"/>
        <w:jc w:val="both"/>
        <w:rPr>
          <w:b w:val="0"/>
          <w:bCs w:val="0"/>
          <w:i w:val="0"/>
          <w:iCs w:val="0"/>
          <w:noProof w:val="0"/>
          <w:lang w:val="en-GB" w:eastAsia="zh-CN"/>
        </w:rPr>
      </w:pPr>
    </w:p>
    <w:p w14:paraId="3676B161" w14:textId="77777777" w:rsidR="00AB51AE" w:rsidRDefault="00AB51AE" w:rsidP="00AB51AE">
      <w:pPr>
        <w:pStyle w:val="Heading1"/>
        <w:keepNext w:val="0"/>
        <w:keepLines w:val="0"/>
        <w:widowControl w:val="0"/>
        <w:numPr>
          <w:ilvl w:val="0"/>
          <w:numId w:val="0"/>
        </w:numPr>
        <w:spacing w:before="0" w:after="0"/>
        <w:ind w:left="0" w:right="0" w:firstLine="0"/>
        <w:jc w:val="left"/>
        <w:rPr>
          <w:b/>
          <w:bCs/>
        </w:rPr>
        <w:sectPr w:rsidR="00AB51AE" w:rsidSect="003F6D3A">
          <w:headerReference w:type="even" r:id="rId10"/>
          <w:headerReference w:type="default" r:id="rId11"/>
          <w:footerReference w:type="even" r:id="rId12"/>
          <w:footerReference w:type="default" r:id="rId13"/>
          <w:headerReference w:type="first" r:id="rId14"/>
          <w:footerReference w:type="first" r:id="rId15"/>
          <w:type w:val="continuous"/>
          <w:pgSz w:w="12240" w:h="15846" w:code="8"/>
          <w:pgMar w:top="1440" w:right="1440" w:bottom="1440" w:left="1440" w:header="720" w:footer="720" w:gutter="0"/>
          <w:cols w:space="720" w:num="1"/>
          <w:titlePg/>
          <w:docGrid w:linePitch="360"/>
          <w:lnNumType w:countBy="1" w:distance="360" w:restart="continuous" w:numStart="1"/>
          <w:pgNumType/>
        </w:sectPr>
      </w:pPr>
    </w:p>
    <w:p w14:paraId="027FA18C" w14:textId="77777777" w:rsidR="00AB51AE" w:rsidRPr="00ED527D" w:rsidRDefault="00AB51AE" w:rsidP="00AB51AE">
      <w:pPr>
        <w:pStyle w:val="Heading1"/>
        <w:keepNext w:val="0"/>
        <w:keepLines w:val="0"/>
        <w:widowControl w:val="0"/>
        <w:numPr>
          <w:ilvl w:val="0"/>
          <w:numId w:val="28"/>
        </w:numPr>
        <w:spacing w:before="0" w:after="0"/>
        <w:ind w:left="0" w:right="0" w:firstLine="0"/>
        <w:jc w:val="left"/>
        <w:rPr>
          <w:b/>
          <w:bCs/>
        </w:rPr>
      </w:pPr>
      <w:r w:rsidRPr="00ED527D">
        <w:rPr>
          <w:rFonts w:ascii="Minion Pro" w:hAnsi="Minion Pro"/>
          <w:b/>
          <w:bCs/>
          <w:i w:val="0"/>
          <w:color w:val="000000"/>
          <w:sz w:val="22"/>
          <w:u w:val="none"/>
        </w:rPr>
        <w:t>Introduction</w:t>
      </w:r>
    </w:p>
    <w:p w14:paraId="75651A06" w14:textId="77777777" w:rsidR="00AB51AE" w:rsidRPr="005B55D6" w:rsidRDefault="00AB51AE" w:rsidP="00AB51AE">
      <w:pPr>
        <w:keepNext w:val="0"/>
        <w:keepLines w:val="0"/>
        <w:widowControl w:val="0"/>
        <w:spacing w:before="0" w:after="0"/>
        <w:ind w:left="0" w:right="0" w:firstLine="283"/>
        <w:jc w:val="both"/>
        <w:rPr>
          <w:spacing w:val="3"/>
        </w:rPr>
      </w:pPr>
      <w:r w:rsidRPr="005B55D6">
        <w:rPr>
          <w:rFonts w:ascii="Minion Pro" w:hAnsi="Minion Pro"/>
          <w:i w:val="0"/>
          <w:color w:val="000000"/>
          <w:sz w:val="20"/>
          <w:u w:val="none"/>
        </w:rPr>
        <w:t>In 1993, Osteoporosis was discovered as a skeletal disease that is caused by low bone density</w:t>
      </w:r>
      <w:r w:rsidR="00F71DDC">
        <w:rPr>
          <w:rFonts w:ascii="Minion Pro" w:hAnsi="Minion Pro"/>
          <w:i w:val="0"/>
          <w:color w:val="000000"/>
          <w:sz w:val="20"/>
          <w:u w:val="none"/>
        </w:rPr>
        <w:fldChar w:fldCharType="begin" w:fldLock="1"/>
      </w:r>
      <w:r w:rsidR="00080A7B">
        <w:rPr>
          <w:rFonts w:ascii="Minion Pro" w:hAnsi="Minion Pro"/>
          <w:i w:val="0"/>
          <w:color w:val="000000"/>
          <w:sz w:val="20"/>
          <w:u w:val="none"/>
        </w:rPr>
        <w:instrText>ADDIN CSL_CITATION {"citationItems":[{"id":"ITEM-1","itemData":{"DOI":"10.1210/endrev/bnab028","ISSN":"19457189","PMID":"34476488","abstract":"Osteoporosis is a global public health problem, with fractures contributing to significant morbidity and mortality. Although postmenopausal osteoporosis is most common, up to 30% of postmenopausal women, &gt; 50% of premenopausal women, and between 50% and 80% of men have secondary osteoporosis. Exclusion of secondary causes is important, as treatment of such patients often commences by treating the underlying condition. These are varied but often neglected, ranging from endocrine to chronic inflammatory and genetic conditions. General screening is recommended for all patients with osteoporosis, with advanced investig</w:instrText>
      </w:r>
      <w:r w:rsidR="00080A7B">
        <w:rPr>
          <w:rFonts w:hint="eastAsia" w:ascii="Minion Pro" w:hAnsi="Minion Pro"/>
          <w:i w:val="0"/>
          <w:color w:val="000000"/>
          <w:sz w:val="20"/>
          <w:u w:val="none"/>
        </w:rPr>
        <w:instrText xml:space="preserve">ations reserved for premenopausal women and men aged &lt; 50 years, for older patients in whom classical risk factors for osteoporosis are absent, and for all patients with the lowest bone mass (Z-score </w:instrText>
      </w:r>
      <w:r w:rsidR="00080A7B">
        <w:rPr>
          <w:rFonts w:hint="eastAsia" w:ascii="Minion Pro" w:hAnsi="Minion Pro"/>
          <w:i w:val="0"/>
          <w:color w:val="000000"/>
          <w:sz w:val="20"/>
          <w:u w:val="none"/>
        </w:rPr>
        <w:instrText>≤</w:instrText>
      </w:r>
      <w:r w:rsidR="00080A7B">
        <w:rPr>
          <w:rFonts w:hint="eastAsia" w:ascii="Minion Pro" w:hAnsi="Minion Pro"/>
          <w:i w:val="0"/>
          <w:color w:val="000000"/>
          <w:sz w:val="20"/>
          <w:u w:val="none"/>
        </w:rPr>
        <w:instrText>-2). The response of secondary osteoporosis to convent</w:instrText>
      </w:r>
      <w:r w:rsidR="00080A7B">
        <w:rPr>
          <w:rFonts w:ascii="Minion Pro" w:hAnsi="Minion Pro"/>
          <w:i w:val="0"/>
          <w:color w:val="000000"/>
          <w:sz w:val="20"/>
          <w:u w:val="none"/>
        </w:rPr>
        <w:instrText>ional anti-osteoporosis therapy may be inadequate if the underlying condition is unrecognized and untreated. Bone densitometry, using dual-energy X-ray absorptiometry, may underestimate fracture risk in some chronic diseases, including glucocorticoid-induced osteoporosis, type 2 diabetes, and obesity, and may overestimate fracture risk in others (eg, Turner syndrome). FRAX and trabecular bone score may provide additional information regarding fracture risk in secondary osteoporosis, but their use is limit</w:instrText>
      </w:r>
      <w:r w:rsidR="00080A7B">
        <w:rPr>
          <w:rFonts w:hint="eastAsia" w:ascii="Minion Pro" w:hAnsi="Minion Pro"/>
          <w:i w:val="0"/>
          <w:color w:val="000000"/>
          <w:sz w:val="20"/>
          <w:u w:val="none"/>
        </w:rPr>
        <w:instrText xml:space="preserve">ed to adults aged </w:instrText>
      </w:r>
      <w:r w:rsidR="00080A7B">
        <w:rPr>
          <w:rFonts w:hint="eastAsia" w:ascii="Minion Pro" w:hAnsi="Minion Pro"/>
          <w:i w:val="0"/>
          <w:color w:val="000000"/>
          <w:sz w:val="20"/>
          <w:u w:val="none"/>
        </w:rPr>
        <w:instrText>≥</w:instrText>
      </w:r>
      <w:r w:rsidR="00080A7B">
        <w:rPr>
          <w:rFonts w:hint="eastAsia" w:ascii="Minion Pro" w:hAnsi="Minion Pro"/>
          <w:i w:val="0"/>
          <w:color w:val="000000"/>
          <w:sz w:val="20"/>
          <w:u w:val="none"/>
        </w:rPr>
        <w:instrText xml:space="preserve"> 40 years and </w:instrText>
      </w:r>
      <w:r w:rsidR="00080A7B">
        <w:rPr>
          <w:rFonts w:hint="eastAsia" w:ascii="Minion Pro" w:hAnsi="Minion Pro"/>
          <w:i w:val="0"/>
          <w:color w:val="000000"/>
          <w:sz w:val="20"/>
          <w:u w:val="none"/>
        </w:rPr>
        <w:instrText>≥</w:instrText>
      </w:r>
      <w:r w:rsidR="00080A7B">
        <w:rPr>
          <w:rFonts w:hint="eastAsia" w:ascii="Minion Pro" w:hAnsi="Minion Pro"/>
          <w:i w:val="0"/>
          <w:color w:val="000000"/>
          <w:sz w:val="20"/>
          <w:u w:val="none"/>
        </w:rPr>
        <w:instrText xml:space="preserve"> 50 years, respectively. In addition, FRAX requires adjustment in some chronic conditions, such as glucocorticoid use, type 2 diabetes, and HIV. In most conditions, evidence for antiresorptive or anabolic therapy is limit</w:instrText>
      </w:r>
      <w:r w:rsidR="00080A7B">
        <w:rPr>
          <w:rFonts w:ascii="Minion Pro" w:hAnsi="Minion Pro"/>
          <w:i w:val="0"/>
          <w:color w:val="000000"/>
          <w:sz w:val="20"/>
          <w:u w:val="none"/>
        </w:rPr>
        <w:instrText>ed to increases in bone mass. Current osteoporosis management guidelines also neglect secondary osteoporosis and these existing evidence gaps are discussed.","author":[{"dropping-particle":"","family":"Ebeling","given":"Peter R.","non-dropping-particle":"","parse-names":false,"suffix":""},{"dropping-particle":"","family":"Nguyen","given":"Hanh H.","non-dropping-particle":"","parse-names":false,"suffix":""},{"dropping-particle":"","family":"Aleksova","given":"Jasna","non-dropping-particle":"","parse-names":false,"suffix":""},{"dropping-particle":"","family":"Vincent","given":"Amanda J.","non-dropping-particle":"","parse-names":false,"suffix":""},{"dropping-particle":"","family":"Wong","given":"Phillip","non-dropping-particle":"","parse-names":false,"suffix":""},{"dropping-particle":"","family":"Milat","given":"Frances","non-dropping-particle":"","parse-names":false,"suffix":""}],"container-title":"Endocrine Reviews","id":"ITEM-1","issue":"2","issued":{"date-parts":[["2022"]]},"page":"240-313","title":"Secondary Osteoporosis","type":"article-journal","volume":"43"},"uris":["http://www.mendeley.com/documents/?uuid=4561b368-c033-4dae-99f5-a4404bc88581"]}],"mendeley":{"formattedCitation":"[1]","plainTextFormattedCitation":"[1]"},"properties":{"noteIndex":0},"schema":"https://github.com/citation-style-language/schema/raw/master/csl-citation.json"}</w:instrText>
      </w:r>
      <w:r w:rsidR="00F71DDC">
        <w:rPr>
          <w:rFonts w:ascii="Minion Pro" w:hAnsi="Minion Pro"/>
          <w:i w:val="0"/>
          <w:color w:val="000000"/>
          <w:sz w:val="20"/>
          <w:u w:val="none"/>
        </w:rPr>
        <w:fldChar w:fldCharType="separate"/>
      </w:r>
      <w:r w:rsidR="00080A7B" w:rsidRPr="00080A7B">
        <w:rPr>
          <w:rFonts w:ascii="Minion Pro" w:hAnsi="Minion Pro"/>
          <w:i w:val="0"/>
          <w:noProof/>
          <w:color w:val="000000"/>
          <w:sz w:val="20"/>
          <w:u w:val="none"/>
        </w:rPr>
        <w:t>[1]</w:t>
      </w:r>
      <w:r w:rsidR="00F71DDC">
        <w:rPr>
          <w:rFonts w:ascii="Minion Pro" w:hAnsi="Minion Pro"/>
          <w:i w:val="0"/>
          <w:color w:val="000000"/>
          <w:sz w:val="20"/>
          <w:u w:val="none"/>
        </w:rPr>
        <w:fldChar w:fldCharType="end"/>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{"citationItems":[{"id":"ITEM-1","itemData":{"DOI":"10.1111/jocn.16101","ISBN":"4202020499","ISSN":"13652702","PMID":"34725872","abstract":"Aims and objectives: To systematically review and compare the efficacy of different exercise interventions on bone mineral density (BMD, g/cm2) in patients with osteoporosis and osteopenia. Background: It is vitally important to prevent and treat bone loss in patients with osteoporosis and osteopenia. Exercise can effectively increase bone density and slow down bone loss in middle-aged and older people. However, it is still unclear which type of exercise intervention is the most effective on bone mineral density. Design: Systematic review and network meta-analysis (NMA) according to PRISMA. Methods: Randomised controlled trials of different exercise treatments for osteopenia and primary osteoporosis were included. A Frequentist network meta-analysis was conducted to appraise the efficacy of different types of exercise. The outcome was bone mineral density of different parts of the body. Results: Ninety-seven studies were included. The network meta-analysis showed that combined exercise, resistance exercise, aerobic exercise and mind-body exercise had a significant effect in improving the bone density of lumbar spine. The surface under the cumulative ranking area (SUCRA) values for mind-body exercise was 0.99 and ranked first. For BMD of the femoral neck, all kinds of exercise interventions increased the bone density significantly compared with no exercise and the optimal type was mind-body exercise (SUCRA = 0.99). In terms of the total hip bone mineral density, aerobic exercise and resistance exercise could improve hip bone density, with the resistance exercise (SUCRA = 0.95) ranking as first. Conclusions: This NMA demonstrated the mind–body exercise might be the optimal exercise type to increase the BMD of the lumbar spine and femoral neck and resistance exercise is the most promising type for total hip BMD.","author":[{"dropping-particle":"","family":"Zhang","given":"Shifang","non-dropping-particle":"","parse-names":false,"suffix":""},{"dropping-particle":"","family":"Huang","given":"Xiuxiu","non-dropping-particle":"","parse-names":false,"suffix":""},{"dropping-particle":"","family":"Zhao","given":"Xiaoyan","non-dropping-particle":"","parse-names":false,"suffix":""},{"dropping-particle":"","family":"Li","given":"Bei","non-dropping-particle":"","parse-names":false,"suffix":""},{"dropping-particle":"","family":"Cai","given":"Ying","non-dropping-particle":"","parse-names":false,"suffix":""},{"dropping-particle":"","family":"Liang","given":"Xiaoqin","non-dropping-particle":"","parse-names":false,"suffix":""},{"dropping-particle":"","family":"Wan","given":"Qiaoqin","non-dropping-particle":"","parse-names":false,"suffix":""}],"container-title":"Journal of Clinical Nursing","id":"ITEM-1","issue":"15-16","issued":{"date-parts":[["2022"]]},"page":"2100-2111","title":"Effect of exercise on bone mineral density among patients with osteoporosis and osteopenia: A systematic review and network meta-analysis","type":"article-journal","volume":"31"},"uris":["http://www.mendeley.com/documents/?uuid=e3ca2d01-1f65-4e01-bc27-695d0507ff5a"]}],"mendeley":{"formattedCitation":"[2]","plainTextFormattedCitation":"[2]","previouslyFormattedCitation":"[2]"},"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[2]</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dislocation of bone structure, and also increases the fragility and sensitivity of bones. Osteoporosis is often neglected or slightly considered around the globe but this disease has a great negative impact on the health of humans because it can cause disability and in severe cases, it can also cause mortality</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{"citationItems":[{"id":"ITEM-1","itemData":{"DOI":"10.1016/j.jcot.2021.04.009","ISSN":"22133445","abstract":"Background: In geriatric age group, hip fractures tend to become a major public health hazard. Due to this high occurrence, there is a need to develop standardized, effective, and multidisciplinary management for treatment. These elderly patients have excessive mortality that can extend ahead of the time of recovery. Early surgery after hip fractures has lead to a notable reduction in mortality rates. Still, it is considerably high as compared to other fractures. Methods: 266 patients of &gt;65 years who were operated within 72 h hours in a tertiary level health care centre for hip fractures were included. They were evaluated with X-rays and grade of Singh's index was noted. Mortality rates and the factors associated with it such as age, sex, co morbidities (using Charlson's co morbidity Index/CCI) were evaluated after 2 year follow up. Results: The overall 2-year mortality reported in our study population was 11.2%. It was broadly lower as compared to most of the other studies. It was 6.3% in females as compared to 18.1% in males. While it was reported to be only 6% in 65–74 years of age, it was 25% in patients who were 85 years and above. 76.6% of the patients had Singh's index of ≤ grade 3 showing osteoporosis. The patients with Low Charlson's score showed only 4.2% mortality while those with high Charlson's score showed 25.5% mortality. Conclusion: It was concluded that Mortality among elderly patients after early surgery after osteoporotic hip fractures is quite significant. The factors for improvement in long term survival post-hip fracture may include changing treatment patterns, increasing life expectancy and early surgery. Increase in age, female sex, and high CCI Scores were major risk factors of mortality after hip fractures in a 2-year follow-up period.","author":[{"dropping-particle":"","family":"Raichandani","given":"Kishore","non-dropping-particle":"","parse-names":false,"suffix":""},{"dropping-particle":"","family":"Agarwal","given":"Shubham","non-dropping-particle":"","parse-names":false,"suffix":""},{"dropping-particle":"","family":"Jain","given":"Hemant","non-dropping-particle":"","parse-names":false,"suffix":""},{"dropping-particle":"","family":"Bharwani","given":"Nandlal","non-dropping-particle":"","parse-names":false,"suffix":""}],"container-title":"Journal of Clinical Orthopaedics and Trauma","id":"ITEM-1","issue":"March 2022","issued":{"date-parts":[["2021"]]},"page":"1-5","publisher":"Elsevier Ltd","title":"Mortality profile after 2 years of hip fractures in elderly patients treated with early surgery","type":"article-journal","volume":"18"},"uris":["http://www.mendeley.com/documents/?uuid=b902bb20-c4f5-43a3-8cee-2506f1c74475"]}],"mendeley":{"formattedCitation":"[3]","plainTextFormattedCitation":"[3]","previouslyFormattedCitation":"[3]"},"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[3]</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Mostly in older people, this bone disease is increasing rapidly</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[4]</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but there are no necessary preventive measures are taken which is causing higher rates of bone fractures and other vertebral diseases. The expansion rate of osteoporosis</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[4]</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and causing fractures is increasing in more than 50 years old individuals. Proper medication, precautionary measures, and maintenance of proper lifestyle can effectively reduce osteoporotic fractures</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{"citationItems":[{"id":"ITEM-1","itemData":{"DOI":"10.1080/13697137.2021.1951206","ISSN":"14730804","PMID":"34319208","abstract":"Osteoporosis is a disease characterized by impaired bone microarchitecture and reduced bone mineral density (BMD) resulting in bone fragility and increased risk of fracture. In western societies, one in three women and one in five men will sustain an osteoporotic fracture in their remaining lifetime from the age of 50 years. Fragility fractures, especially of the spine and hip, commonly give rise to increased morbidity and mortality. In the five largest European countries and Sweden, fragility fractures were the cause of 2.6 million disability-adjusted life years in 2016 and the fracture-related costs increased from €29.6 billion in 2010 to €37.5 billion in 2017. In the European Union and the USA, only a small proportion of women eligible for pharmacological treatment are being prescribed osteoporosis medication. Secondary fracture prevention, using Fracture Liaison Services, can be used to increase the rates of fracture risk assessment, BMD testing and use of osteoporosis medication in order to reduce fracture numbers. Additionally, established primary prevention strategies, based on case-finding methods utilizing fracture prediction tools, such as FRAX, to identify women without fracture but with elevated risk, are recommended in order to further reduce fracture numbers.","author":[{"dropping-particle":"","family":"Lorentzon","given":"M.","non-dropping-particle":"","parse-names":false,"suffix":""},{"dropping-particle":"","family":"Johansson","given":"H.","non-dropping-particle":"","parse-names":false,"suffix":""},{"dropping-particle":"","family":"Harvey","given":"N. C.","non-dropping-particle":"","parse-names":false,"suffix":""},{"dropping-particle":"","family":"Liu","given":"E.","non-dropping-particle":"","parse-names":false,"suffix":""},{"dropping-particle":"","family":"Vandenput","given":"L.","non-dropping-particle":"","parse-names":false,"suffix":""},{"dropping-particle":"V.","family":"McCloskey","given":"E.","non-dropping-particle":"","parse-names":false,"suffix":""},{"dropping-particle":"","family":"Kanis","given":"J. A.","non-dropping-particle":"","parse-names":false,"suffix":""}],"container-title":"Climacteric","id":"ITEM-1","issue":"1","issued":{"date-parts":[["2022"]]},"page":"4-10","publisher":"Taylor &amp; Francis","title":"Osteoporosis and fractures in women: the burden of disease","type":"article-journal","volume":"25"},"uris":["http://www.mendeley.com/documents/?uuid=5cc96703-743d-49ac-8fa3-3b9d309977b4"]}],"mendeley":{"formattedCitation":"[5]","plainTextFormattedCitation":"[5]","previouslyFormattedCitation":"[5]"},"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[5]</w:t>
      </w:r>
      <w:r w:rsidR="00F71DDC" w:rsidRPr="005B55D6">
        <w:rPr>
          <w:rFonts w:ascii="Minion Pro" w:hAnsi="Minion Pro"/>
          <w:i w:val="0"/>
          <w:color w:val="000000"/>
          <w:sz w:val="20"/>
          <w:u w:val="none"/>
        </w:rPr>
        <w:fldChar w:fldCharType="end"/>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{"citationItems":[{"id":"ITEM-1","itemData":{"DOI":"10.1007/s10278-019-00216-0","ISBN":"1027801900","ISSN":"1618727X","PMID":"31011954","abstract":"Accurate segmentation of the vertebrae from medical images plays an important role in computer-aided diagnoses (CADs). It provides an initial and early diagnosis of various vertebral abnormalities to doctors and radiologists. Vertebrae segmentation is very important but difficult task in medical imaging due to low-contrast imaging and noise. It becomes more challenging when dealing with fractured (osteoporotic) cases. This work is dedicated to address the challenging problem of vertebra segmentation. In the past, various segmentation techniques of vertebrae have been proposed. Recently, deep learning techniques have been introduced in biomedical image processing for segmentation and characterization of several abnormalities. These techniques are becoming popular for segmentation purposes due to their robustness and accuracy. In this paper, we present a novel combination of traditional region-based level set with deep learning framework in order to predict shape of vertebral bones accurately; thus, it would be able to handle the fractured cases efficiently. We termed this novel Framework as “FU-Net” which is a powerful and practical framework to handle fractured vertebrae segmentation efficiently. The proposed method was successfully evaluated on two different challenging datasets: (1) 20 CT scans, 15 healthy cases, and 5 fractured cases provided at spine segmentation challenge CSI 2014; (2) 25 CT image data (both healthy and fractured cases) provided at spine segmentation challenge CSI 2016 or xVertSeg.v1 challenge. We have achieved promising results on our proposed technique especially on fractured cases. Dice score was found to be 96.4 ± 0.8% without fractured cases and 92.8 ± 1.9% with fractured cases in CSI 2014 dataset (lumber and thoracic). Similarly, dice score was 95.2 ± 1.9% on 15 CT dataset (with given ground truths) and 95.4 ± 2.1% on total 25 CT dataset for CSI 2016 datasets (with 10 annotated CT datasets). The proposed technique outperformed other state-of-the-art techniques and handled the fractured cases for the first time efficiently.","author":[{"dropping-particle":"","family":"Rehman","given":"Faisal","non-dropping-particle":"","parse-names":false,"suffix":""},{"dropping-particle":"","family":"Ali Shah","given":"Syed Irtiza","non-dropping-particle":"","parse-names":false,"suffix":""},{"dropping-particle":"","family":"Riaz","given":"M. Naveed","non-dropping-particle":"","parse-names":false,"suffix":""},{"dropping-particle":"","family":"Gilani","given":"S. Omer","non-dropping-particle":"","parse-names":false,"suffix":""},{"dropping-particle":"","family":"R","given":"Faiza","non-dropping-particle":"","parse-names":false,"suffix":""}],"container-title":"Journal of Digital Imaging","id":"ITEM-1","issue":"1","issued":{"date-parts":[["2020"]]},"page":"191-203","publisher":"Journal of Digital Imaging","title":"A Region-Based Deep Level Set Formulation for Vertebral Bone Segmentation of Osteoporotic Fractures","type":"article-journal","volume":"33"},"uris":["http://www.mendeley.com/documents/?uuid=179fc5d6-67ec-473f-ab6e-6d5a66fa0b98"]}],"mendeley":{"formattedCitation":"[6]","plainTextFormattedCitation":"[6]","previouslyFormattedCitation":"[6]"},"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[6]</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many surveys and research have shown a ratio of 66% reduction rate in these osteoporotic patients, so timely detection of these issues can prevent other serious bone problems.</w:t>
      </w:r>
      <w:r w:rsidRPr="005B55D6">
        <w:rPr>
          <w:rFonts w:ascii="Minion Pro" w:hAnsi="Minion Pro"/>
          <w:i w:val="0"/>
          <w:color w:val="000000"/>
          <w:spacing w:val="3"/>
          <w:sz w:val="20"/>
          <w:u w:val="none"/>
        </w:rPr>
        <w:t>It is a preventable and diagnosable disease if it is detected and diagnosed in time. According to National Osteoporotic Foundation</w:t>
      </w:r>
      <w:r w:rsidR="00F71DDC" w:rsidRPr="005B55D6">
        <w:rPr>
          <w:rFonts w:ascii="Minion Pro" w:hAnsi="Minion Pro"/>
          <w:i w:val="0"/>
          <w:color w:val="000000"/>
          <w:spacing w:val="3"/>
          <w:sz w:val="20"/>
          <w:u w:val="none"/>
        </w:rPr>
        <w:fldChar w:fldCharType="begin" w:fldLock="1"/>
      </w:r>
      <w:r w:rsidRPr="005B55D6">
        <w:rPr>
          <w:rFonts w:ascii="Minion Pro" w:hAnsi="Minion Pro"/>
          <w:i w:val="0"/>
          <w:color w:val="000000"/>
          <w:spacing w:val="3"/>
          <w:sz w:val="20"/>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5B55D6">
        <w:rPr>
          <w:rFonts w:ascii="Minion Pro" w:hAnsi="Minion Pro"/>
          <w:i w:val="0"/>
          <w:color w:val="000000"/>
          <w:spacing w:val="3"/>
          <w:sz w:val="20"/>
          <w:u w:val="none"/>
        </w:rPr>
        <w:fldChar w:fldCharType="separate"/>
      </w:r>
      <w:r w:rsidRPr="005B55D6">
        <w:rPr>
          <w:rFonts w:ascii="Minion Pro" w:hAnsi="Minion Pro"/>
          <w:i w:val="0"/>
          <w:noProof/>
          <w:color w:val="000000"/>
          <w:spacing w:val="3"/>
          <w:sz w:val="20"/>
          <w:u w:val="none"/>
        </w:rPr>
        <w:t>[7]</w:t>
      </w:r>
      <w:r w:rsidR="00F71DDC" w:rsidRPr="005B55D6">
        <w:rPr>
          <w:rFonts w:ascii="Minion Pro" w:hAnsi="Minion Pro"/>
          <w:i w:val="0"/>
          <w:color w:val="000000"/>
          <w:spacing w:val="3"/>
          <w:sz w:val="20"/>
          <w:u w:val="none"/>
        </w:rPr>
        <w:fldChar w:fldCharType="end"/>
      </w:r>
      <w:r w:rsidRPr="005B55D6">
        <w:rPr>
          <w:rFonts w:ascii="Minion Pro" w:hAnsi="Minion Pro"/>
          <w:i w:val="0"/>
          <w:color w:val="000000"/>
          <w:spacing w:val="3"/>
          <w:sz w:val="20"/>
          <w:u w:val="none"/>
        </w:rPr>
        <w:t>, 50% of women and 25% of men must suffer from osteoporotic fractures their whole life. Most patients don’t feel the symptoms of bone breakage</w:t>
      </w:r>
      <w:r w:rsidRPr="005B55D6">
        <w:rPr>
          <w:rFonts w:ascii="Minion Pro" w:hAnsi="Minion Pro"/>
          <w:i w:val="0"/>
          <w:color w:val="000000"/>
          <w:spacing w:val="3"/>
          <w:sz w:val="20"/>
          <w:u w:val="none"/>
        </w:rPr>
        <w:t>until they are fractured that’s why it is also called a silent disease. According to rheumatologists, millions of people are suffering from osteoporosis in America</w:t>
      </w:r>
      <w:r w:rsidR="00F71DDC" w:rsidRPr="005B55D6">
        <w:rPr>
          <w:rFonts w:ascii="Minion Pro" w:hAnsi="Minion Pro"/>
          <w:i w:val="0"/>
          <w:color w:val="000000"/>
          <w:spacing w:val="3"/>
          <w:sz w:val="20"/>
          <w:u w:val="none"/>
        </w:rPr>
        <w:fldChar w:fldCharType="begin" w:fldLock="1"/>
      </w:r>
      <w:r w:rsidRPr="005B55D6">
        <w:rPr>
          <w:rFonts w:ascii="Minion Pro" w:hAnsi="Minion Pro"/>
          <w:i w:val="0"/>
          <w:color w:val="000000"/>
          <w:spacing w:val="3"/>
          <w:sz w:val="20"/>
          <w:u w:val="none"/>
        </w:rPr>
        <w:instrText>ADDIN CSL_CITATION {"citationItems":[{"id":"ITEM-1","itemData":{"DOI":"10.1111/jocn.16101","ISBN":"4202020499","ISSN":"13652702","PMID":"34725872","abstract":"Aims and objectives: To systematically review and compare the efficacy of different exercise interventions on bone mineral density (BMD, g/cm2) in patients with osteoporosis and osteopenia. Background: It is vitally important to prevent and treat bone loss in patients with osteoporosis and osteopenia. Exercise can effectively increase bone density and slow down bone loss in middle-aged and older people. However, it is still unclear which type of exercise intervention is the most effective on bone mineral density. Design: Systematic review and network meta-analysis (NMA) according to PRISMA. Methods: Randomised controlled trials of different exercise treatments for osteopenia and primary osteoporosis were included. A Frequentist network meta-analysis was conducted to appraise the efficacy of different types of exercise. The outcome was bone mineral density of different parts of the body. Results: Ninety-seven studies were included. The network meta-analysis showed that combined exercise, resistance exercise, aerobic exercise and mind-body exercise had a significant effect in improving the bone density of lumbar spine. The surface under the cumulative ranking area (SUCRA) values for mind-body exercise was 0.99 and ranked first. For BMD of the femoral neck, all kinds of exercise interventions increased the bone density significantly compared with no exercise and the optimal type was mind-body exercise (SUCRA = 0.99). In terms of the total hip bone mineral density, aerobic exercise and resistance exercise could improve hip bone density, with the resistance exercise (SUCRA = 0.95) ranking as first. Conclusions: This NMA demonstrated the mind–body exercise might be the optimal exercise type to increase the BMD of the lumbar spine and femoral neck and resistance exercise is the most promising type for total hip BMD.","author":[{"dropping-particle":"","family":"Zhang","given":"Shifang","non-dropping-particle":"","parse-names":false,"suffix":""},{"dropping-particle":"","family":"Huang","given":"Xiuxiu","non-dropping-particle":"","parse-names":false,"suffix":""},{"dropping-particle":"","family":"Zhao","given":"Xiaoyan","non-dropping-particle":"","parse-names":false,"suffix":""},{"dropping-particle":"","family":"Li","given":"Bei","non-dropping-particle":"","parse-names":false,"suffix":""},{"dropping-particle":"","family":"Cai","given":"Ying","non-dropping-particle":"","parse-names":false,"suffix":""},{"dropping-particle":"","family":"Liang","given":"Xiaoqin","non-dropping-particle":"","parse-names":false,"suffix":""},{"dropping-particle":"","family":"Wan","given":"Qiaoqin","non-dropping-particle":"","parse-names":false,"suffix":""}],"container-title":"Journal of Clinical Nursing","id":"ITEM-1","issue":"15-16","issued":{"date-parts":[["2022"]]},"page":"2100-2111","title":"Effect of exercise on bone mineral density among patients with osteoporosis and osteopenia: A systematic review and network meta-analysis","type":"article-journal","volume":"31"},"uris":["http://www.mendeley.com/documents/?uuid=e3ca2d01-1f65-4e01-bc27-695d0507ff5a"]}],"mendeley":{"formattedCitation":"[2]","plainTextFormattedCitation":"[2]","previouslyFormattedCitation":"[2]"},"properties":{"noteIndex":0},"schema":"https://github.com/citation-style-language/schema/raw/master/csl-citation.json"}</w:instrText>
      </w:r>
      <w:r w:rsidR="00F71DDC" w:rsidRPr="005B55D6">
        <w:rPr>
          <w:rFonts w:ascii="Minion Pro" w:hAnsi="Minion Pro"/>
          <w:i w:val="0"/>
          <w:color w:val="000000"/>
          <w:spacing w:val="3"/>
          <w:sz w:val="20"/>
          <w:u w:val="none"/>
        </w:rPr>
        <w:fldChar w:fldCharType="separate"/>
      </w:r>
      <w:r w:rsidRPr="005B55D6">
        <w:rPr>
          <w:rFonts w:ascii="Minion Pro" w:hAnsi="Minion Pro"/>
          <w:i w:val="0"/>
          <w:noProof/>
          <w:color w:val="000000"/>
          <w:spacing w:val="3"/>
          <w:sz w:val="20"/>
          <w:u w:val="none"/>
        </w:rPr>
        <w:t>[2]</w:t>
      </w:r>
      <w:r w:rsidR="00F71DDC" w:rsidRPr="005B55D6">
        <w:rPr>
          <w:rFonts w:ascii="Minion Pro" w:hAnsi="Minion Pro"/>
          <w:i w:val="0"/>
          <w:color w:val="000000"/>
          <w:spacing w:val="3"/>
          <w:sz w:val="20"/>
          <w:u w:val="none"/>
        </w:rPr>
        <w:fldChar w:fldCharType="end"/>
      </w:r>
      <w:r w:rsidRPr="005B55D6">
        <w:rPr>
          <w:rFonts w:ascii="Minion Pro" w:hAnsi="Minion Pro"/>
          <w:i w:val="0"/>
          <w:color w:val="000000"/>
          <w:spacing w:val="3"/>
          <w:sz w:val="20"/>
          <w:u w:val="none"/>
        </w:rPr>
        <w:t>, so people should take serious consideration into their health and should get proper medication or bone tests for advanced preventive measures.</w:t>
      </w:r>
      <w:r w:rsidRPr="005B55D6">
        <w:rPr>
          <w:rStyle w:val="Strong"/>
          <w:rFonts w:ascii="Minion Pro" w:hAnsi="Minion Pro"/>
          <w:b w:val="0"/>
          <w:i w:val="0"/>
          <w:color w:val="000000"/>
          <w:spacing w:val="3"/>
          <w:sz w:val="20"/>
          <w:u w:val="none"/>
        </w:rPr>
        <w:t>The most common symptoms of osteoporosis</w:t>
      </w:r>
      <w:r w:rsidR="00F71DDC" w:rsidRPr="005B55D6">
        <w:rPr>
          <w:rStyle w:val="Strong"/>
          <w:rFonts w:ascii="Minion Pro" w:hAnsi="Minion Pro"/>
          <w:b w:val="0"/>
          <w:i w:val="0"/>
          <w:color w:val="000000"/>
          <w:spacing w:val="3"/>
          <w:sz w:val="20"/>
          <w:u w:val="none"/>
        </w:rPr>
        <w:fldChar w:fldCharType="begin" w:fldLock="1"/>
      </w:r>
      <w:r w:rsidRPr="005B55D6">
        <w:rPr>
          <w:rStyle w:val="Strong"/>
          <w:rFonts w:ascii="Minion Pro" w:hAnsi="Minion Pro"/>
          <w:b w:val="0"/>
          <w:i w:val="0"/>
          <w:color w:val="000000"/>
          <w:spacing w:val="3"/>
          <w:sz w:val="20"/>
          <w:u w:val="none"/>
        </w:rPr>
        <w:instrText>ADDIN CSL_CITATION {"citationItems":[{"id":"ITEM-1","itemData":{"DOI":"10.21608/ejcm.2021.167553","author":[{"dropping-particle":"","family":"Hussein","given":"Rasha S","non-dropping-particle":"","parse-names":false,"suffix":""},{"dropping-particle":"","family":"Wahdan","given":"Maha M","non-dropping-particle":"","parse-names":false,"suffix":""}],"container-title":"The Egyptian Journal of Community Medicine","id":"ITEM-1","issue":"2","issued":{"date-parts":[["2021"]]},"page":"59-68","title":"Knowledge about Symptoms and Risk Factors of Osteoporosis among Adult Women in Cairo, Egypt","type":"article-journal","volume":"39"},"uris":["http://www.mendeley.com/documents/?uuid=9555527a-5519-4d20-adfa-0784b63d4e02"]}],"mendeley":{"formattedCitation":"[8]","plainTextFormattedCitation":"[8]","previouslyFormattedCitation":"[8]"},"properties":{"noteIndex":0},"schema":"https://github.com/citation-style-language/schema/raw/master/csl-citation.json"}</w:instrText>
      </w:r>
      <w:r w:rsidR="00F71DDC" w:rsidRPr="005B55D6">
        <w:rPr>
          <w:rStyle w:val="Strong"/>
          <w:rFonts w:ascii="Minion Pro" w:hAnsi="Minion Pro"/>
          <w:b w:val="0"/>
          <w:i w:val="0"/>
          <w:color w:val="000000"/>
          <w:spacing w:val="3"/>
          <w:sz w:val="20"/>
          <w:u w:val="none"/>
        </w:rPr>
        <w:fldChar w:fldCharType="separate"/>
      </w:r>
      <w:r w:rsidRPr="005B55D6">
        <w:rPr>
          <w:rStyle w:val="Strong"/>
          <w:rFonts w:ascii="Minion Pro" w:hAnsi="Minion Pro"/>
          <w:b w:val="0"/>
          <w:i w:val="0"/>
          <w:noProof/>
          <w:color w:val="000000"/>
          <w:spacing w:val="3"/>
          <w:sz w:val="20"/>
          <w:u w:val="none"/>
        </w:rPr>
        <w:t>[8]</w:t>
      </w:r>
      <w:r w:rsidR="00F71DDC" w:rsidRPr="005B55D6">
        <w:rPr>
          <w:rStyle w:val="Strong"/>
          <w:rFonts w:ascii="Minion Pro" w:hAnsi="Minion Pro"/>
          <w:b w:val="0"/>
          <w:i w:val="0"/>
          <w:color w:val="000000"/>
          <w:spacing w:val="3"/>
          <w:sz w:val="20"/>
          <w:u w:val="none"/>
        </w:rPr>
        <w:fldChar w:fldCharType="end"/>
      </w:r>
      <w:r w:rsidRPr="005B55D6">
        <w:rPr>
          <w:rStyle w:val="Strong"/>
          <w:rFonts w:ascii="Minion Pro" w:hAnsi="Minion Pro"/>
          <w:b w:val="0"/>
          <w:i w:val="0"/>
          <w:color w:val="000000"/>
          <w:spacing w:val="3"/>
          <w:sz w:val="20"/>
          <w:u w:val="none"/>
        </w:rPr>
        <w:t>are slight fractures issue in sensitive areas like the hip, wrists, vertebral column, etc. if a person observes a height loss of around 2 inches and a curved shape of the vertebral column with noticeable weakness in the spine, these are all the warning signs for having a properly detailed checkup related to bone density and health of vertebral column. Cervical spine abnormalities can be detected easily and more accurately with the help of an accurate segmentation. In a recent research paper</w:t>
      </w:r>
      <w:r w:rsidR="00F71DDC" w:rsidRPr="005B55D6">
        <w:rPr>
          <w:rStyle w:val="Strong"/>
          <w:rFonts w:ascii="Minion Pro" w:hAnsi="Minion Pro"/>
          <w:b w:val="0"/>
          <w:i w:val="0"/>
          <w:color w:val="000000"/>
          <w:spacing w:val="3"/>
          <w:sz w:val="20"/>
          <w:u w:val="none"/>
        </w:rPr>
        <w:fldChar w:fldCharType="begin" w:fldLock="1"/>
      </w:r>
      <w:r w:rsidRPr="005B55D6">
        <w:rPr>
          <w:rStyle w:val="Strong"/>
          <w:rFonts w:ascii="Minion Pro" w:hAnsi="Minion Pro"/>
          <w:b w:val="0"/>
          <w:i w:val="0"/>
          <w:color w:val="000000"/>
          <w:spacing w:val="3"/>
          <w:sz w:val="20"/>
          <w:u w:val="none"/>
        </w:rPr>
        <w:instrText>ADDIN CSL_CITATION {"citationItems":[{"id":"ITEM-1","itemData":{"DOI":"10.1109/C-CODE.2019.8680994","ISBN":"9781538696095","abstract":"Cervical (neck) pain is becoming the leading issue worldwide. Accurate segmentation of cervical spine can assist radiologists and doctors in early and batter clinical diagnosis of cervical abnormalities. This paper addresses the challenging issue of cervical image segmentation. Various techniques have been proposed earlier, but still work is needed for accurate identification and segmentation of vertebral bodies. The technique required to segment out vertebra should be robust and invariant to variation in shape, noise, rotation, scale and occlusions. In this paper, we have presented a novel technique for cervical vertebrae segmentation, which is based on deep learning, i.e., U-Net. This technique would have an ability to capture information embedded in x-ray data images for segmentation purpose and have an ability to overcome noise and occlusions in batter and efficient way.","author":[{"dropping-particle":"","family":"Rehman","given":"Faisal","non-dropping-particle":"","parse-names":false,"suffix":""},{"dropping-particle":"","family":"Shah","given":"Syed Irtiza Ali","non-dropping-particle":"","parse-names":false,"suffix":""},{"dropping-particle":"","family":"Omer Gilani","given":"S.","non-dropping-particle":"","parse-names":false,"suffix":""},{"dropping-particle":"","family":"Emad","given":"D.","non-dropping-particle":"","parse-names":false,"suffix":""},{"dropping-particle":"","family":"Naveed Riaz","given":"M.","non-dropping-particle":"","parse-names":false,"suffix":""},{"dropping-particle":"","family":"Faiza","given":"R.","non-dropping-particle":"","parse-names":false,"suffix":""}],"container-title":"2019 2nd International Conference on Communication, Computing and Digital Systems, C-CODE 2019","id":"ITEM-1","issue":"March","issued":{"date-parts":[["2019"]]},"page":"190-194","title":"A Novel Framework to Segment out Cervical Vertebrae","type":"article-journal"},"uris":["http://www.mendeley.com/documents/?uuid=d0cc4658-5327-4a61-b018-f2d2fdb27de7"]}],"mendeley":{"formattedCitation":"[9]","plainTextFormattedCitation":"[9]","previouslyFormattedCitation":"[9]"},"properties":{"noteIndex":0},"schema":"https://github.com/citation-style-language/schema/raw/master/csl-citation.json"}</w:instrText>
      </w:r>
      <w:r w:rsidR="00F71DDC" w:rsidRPr="005B55D6">
        <w:rPr>
          <w:rStyle w:val="Strong"/>
          <w:rFonts w:ascii="Minion Pro" w:hAnsi="Minion Pro"/>
          <w:b w:val="0"/>
          <w:i w:val="0"/>
          <w:color w:val="000000"/>
          <w:spacing w:val="3"/>
          <w:sz w:val="20"/>
          <w:u w:val="none"/>
        </w:rPr>
        <w:fldChar w:fldCharType="separate"/>
      </w:r>
      <w:r w:rsidRPr="005B55D6">
        <w:rPr>
          <w:rStyle w:val="Strong"/>
          <w:rFonts w:ascii="Minion Pro" w:hAnsi="Minion Pro"/>
          <w:b w:val="0"/>
          <w:i w:val="0"/>
          <w:noProof/>
          <w:color w:val="000000"/>
          <w:spacing w:val="3"/>
          <w:sz w:val="20"/>
          <w:u w:val="none"/>
        </w:rPr>
        <w:t>[9]</w:t>
      </w:r>
      <w:r w:rsidR="00F71DDC" w:rsidRPr="005B55D6">
        <w:rPr>
          <w:rStyle w:val="Strong"/>
          <w:rFonts w:ascii="Minion Pro" w:hAnsi="Minion Pro"/>
          <w:b w:val="0"/>
          <w:i w:val="0"/>
          <w:color w:val="000000"/>
          <w:spacing w:val="3"/>
          <w:sz w:val="20"/>
          <w:u w:val="none"/>
        </w:rPr>
        <w:fldChar w:fldCharType="end"/>
      </w:r>
      <w:r w:rsidRPr="005B55D6">
        <w:rPr>
          <w:rStyle w:val="Strong"/>
          <w:rFonts w:ascii="Minion Pro" w:hAnsi="Minion Pro"/>
          <w:b w:val="0"/>
          <w:i w:val="0"/>
          <w:color w:val="000000"/>
          <w:spacing w:val="3"/>
          <w:sz w:val="20"/>
          <w:u w:val="none"/>
        </w:rPr>
        <w:t>, a deep learning model was proposed for the segmentation of cervical vertebrae, with the ability to capture information with X-ray images and can also eliminate noise issues for better results.</w:t>
      </w:r>
      <w:r w:rsidRPr="005B55D6">
        <w:rPr>
          <w:rStyle w:val="Strong"/>
          <w:rFonts w:ascii="Minion Pro" w:hAnsi="Minion Pro"/>
          <w:b w:val="0"/>
          <w:bCs w:val="0"/>
          <w:i w:val="0"/>
          <w:color w:val="000000"/>
          <w:spacing w:val="3"/>
          <w:sz w:val="20"/>
          <w:u w:val="none"/>
        </w:rPr>
      </w:r>
      <w:r w:rsidRPr="005B55D6">
        <w:rPr>
          <w:rFonts w:ascii="Minion Pro" w:hAnsi="Minion Pro"/>
          <w:i w:val="0"/>
          <w:color w:val="000000"/>
          <w:sz w:val="20"/>
          <w:u w:val="none"/>
        </w:rPr>
        <w:t>Poor nutritional condition, less body weight, lack of physical activities, endocrine and cardiometabolic factors, and also age factor cause the problem of osteoporosis in females</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{"citationItems":[{"id":"ITEM-1","itemData":{"DOI":"10.1080/13697137.2021.1951206","ISSN":"14730804","PMID":"34319208","abstract":"Osteoporosis is a disease characterized by impaired bone microarchitecture and reduced bone mineral density (BMD) resulting in bone fragility and increased risk of fracture. In western societies, one in three women and one in five men will sustain an osteoporotic fracture in their remaining lifetime from the age of 50 years. Fragility fractures, especially of the spine and hip, commonly give rise to increased morbidity and mortality. In the five largest European countries and Sweden, fragility fractures were the cause of 2.6 million disability-adjusted life years in 2016 and the fracture-related costs increased from €29.6 billion in 2010 to €37.5 billion in 2017. In the European Union and the USA, only a small proportion of women eligible for pharmacological treatment are being prescribed osteoporosis medication. Secondary fracture prevention, using Fracture Liaison Services, can be used to increase the rates of fracture risk assessment, BMD testing and use of osteoporosis medication in order to reduce fracture numbers. Additionally, established primary prevention strategies, based on case-finding methods utilizing fracture prediction tools, such as FRAX, to identify women without fracture but with elevated risk, are recommended in order to further reduce fracture numbers.","author":[{"dropping-particle":"","family":"Lorentzon","given":"M.","non-dropping-particle":"","parse-names":false,"suffix":""},{"dropping-particle":"","family":"Johansson","given":"H.","non-dropping-particle":"","parse-names":false,"suffix":""},{"dropping-particle":"","family":"Harvey","given":"N. C.","non-dropping-particle":"","parse-names":false,"suffix":""},{"dropping-particle":"","family":"Liu","given":"E.","non-dropping-particle":"","parse-names":false,"suffix":""},{"dropping-particle":"","family":"Vandenput","given":"L.","non-dropping-particle":"","parse-names":false,"suffix":""},{"dropping-particle":"V.","family":"McCloskey","given":"E.","non-dropping-particle":"","parse-names":false,"suffix":""},{"dropping-particle":"","family":"Kanis","given":"J. A.","non-dropping-particle":"","parse-names":false,"suffix":""}],"container-title":"Climacteric","id":"ITEM-1","issue":"1","issued":{"date-parts":[["2022"]]},"page":"4-10","publisher":"Taylor &amp; Francis","title":"Osteoporosis and fractures in women: the burden of disease","type":"article-journal","volume":"25"},"uris":["http://www.mendeley.com/documents/?uuid=5cc96703-743d-49ac-8fa3-3b9d309977b4"]}],"mendeley":{"formattedCitation":"[5]","plainTextFormattedCitation":"[5]","previouslyFormattedCitation":"[5]"},"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[5]</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For screening and identification of osteoporosis, many researchers have proposed several techniques for analysis of risk or causing factors as</w:t>
      </w:r>
      <w:r w:rsidRPr="005B55D6">
        <w:rPr>
          <w:rFonts w:ascii="Minion Pro" w:hAnsi="Minion Pro"/>
          <w:i w:val="0"/>
          <w:color w:val="000000"/>
          <w:sz w:val="20"/>
          <w:u w:val="none"/>
        </w:rPr>
        <w:lastRenderedPageBreak/>
        <w:t>well as the methods for proper diagnosis. For instance, for postmenopausal Asian women, a method</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[10]</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was introduced which is called the OSTA model</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[10]</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Other regression-based models were also devised but Machine learning techniques are gaining more popularity due to their flexible, easy-to-develop, and useful nature, for the detection of complex and difficult relationships between input/output data and prediction models. Different studies and research proposed multiple methods for diagnosis, prevention, prediction, and assessment of risk factors with radiology</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{"citationItems":[{"id":"ITEM-1","itemData":{"DOI":"10.1007/978-981-16-6890-6_30","abstract":"COVID-19 is posed as very infectious and deadly pneumonia type disease until recent time. Novel coronavirus or SARS-COV-2 strain is responsible for COVID-19 and it has already shown the deadly nature of respiratory disease by threatening the health of millions of lives across the globe. Clinical study reveals that a COVID-19 infected person may experience dry cough, muscle pain, headache, fever, sore throat and mild to moderate respiratory illness. At the same time, it affects the lungs badly with virus infection. So, the lung can be a prominent internal organ to diagnose the gravity of COVID-19 infection using X-Ray and CT scan images of chest. Despite having lengthy testing time, RT-PCR is a proven testing methodology to detect coronavirus infection. Sometimes, it might give more false positive and false negative results than the desired rates. Therefore, to assist the traditional RT-PCR methodology for accurate clinical diagnosis, COVID-19 screening can be adopted with X-Ray and CT scan images of lung of an individual. This image based diagnosis will bring radical change in detecting coronavirus infection in human body with ease and having zero or near to zero false positives and false negatives rates. This paper reports a convolutional neural network (CNN) based multi-image augmentation technique for detecting COVID-19 in chest X-Ray and chest CT scan images of coronavirus suspected individuals. Multi-image augmentation makes use of discontinuity information obtained in the filtered images for increasing the number of effective examples for training the CNN model. With this approach, the proposed model exhibits higher classification accuracy around 95.38% and 98.97% for CT scan and X-Ray images respectively. CT scan images with multi-image augmentation achieves sensitivity of 94.78% and specificity of 95.98%, whereas X-Ray images with multi-image augmentation achieves sensitivity of 99.07% and specificity of 98.88%. Evaluation has been done on publicly available databases containing both chest X-Ray and CT scan images and the experimental results are also compared with ResNet-50 and VGG-16 models.","author":[{"dropping-particle":"","family":"Purohit","given":"Kiran","non-dropping-particle":"","parse-names":false,"suffix":""},{"dropping-particle":"","family":"Kesarwani","given":"Abhishek","non-dropping-particle":"","parse-names":false,"suffix":""},{"dropping-particle":"","family":"Ranjan Kisku","given":"Dakshina","non-dropping-particle":"","parse-names":false,"suffix":""},{"dropping-particle":"","family":"Dalui","given":"Mamata","non-dropping-particle":"","parse-names":false,"suffix":""}],"id":"ITEM-1","issued":{"date-parts":[["2022"]]},"page":"395-413","title":"COVID-19 Detection on Chest X-Ray and CT Scan Images Using Multi-image Augmented Deep Learning Model","type":"article-journal"},"uris":["http://www.mendeley.com/documents/?uuid=ca67f9f9-2382-47aa-b98c-501e697188d2"]}],"mendeley":{"formattedCitation":"[11]","plainTextFormattedCitation":"[11]","previouslyFormattedCitation":"[11]"},"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[11]</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based methods, bone mineral density, CT scanning</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{"citationItems":[{"id":"ITEM-1","itemData":{"DOI":"10.1007/978-981-16-6890-6_30","abstract":"COVID-19 is posed as very infectious and deadly pneumonia type disease until recent time. Novel coronavirus or SARS-COV-2 strain is responsible for COVID-19 and it has already shown the deadly nature of respiratory disease by threatening the health of millions of lives across the globe. Clinical study reveals that a COVID-19 infected person may experience dry cough, muscle pain, headache, fever, sore throat and mild to moderate respiratory illness. At the same time, it affects the lungs badly with virus infection. So, the lung can be a prominent internal organ to diagnose the gravity of COVID-19 infection using X-Ray and CT scan images of chest. Despite having lengthy testing time, RT-PCR is a proven testing methodology to detect coronavirus infection. Sometimes, it might give more false positive and false negative results than the desired rates. Therefore, to assist the traditional RT-PCR methodology for accurate clinical diagnosis, COVID-19 screening can be adopted with X-Ray and CT scan images of lung of an individual. This image based diagnosis will bring radical change in detecting coronavirus infection in human body with ease and having zero or near to zero false positives and false negatives rates. This paper reports a convolutional neural network (CNN) based multi-image augmentation technique for detecting COVID-19 in chest X-Ray and chest CT scan images of coronavirus suspected individuals. Multi-image augmentation makes use of discontinuity information obtained in the filtered images for increasing the number of effective examples for training the CNN model. With this approach, the proposed model exhibits higher classification accuracy around 95.38% and 98.97% for CT scan and X-Ray images respectively. CT scan images with multi-image augmentation achieves sensitivity of 94.78% and specificity of 95.98%, whereas X-Ray images with multi-image augmentation achieves sensitivity of 99.07% and specificity of 98.88%. Evaluation has been done on publicly available databases containing both chest X-Ray and CT scan images and the experimental results are also compared with ResNet-50 and VGG-16 models.","author":[{"dropping-particle":"","family":"Purohit","given":"Kiran","non-dropping-particle":"","parse-names":false,"suffix":""},{"dropping-particle":"","family":"Kesarwani","given":"Abhishek","non-dropping-particle":"","parse-names":false,"suffix":""},{"dropping-particle":"","family":"Ranjan Kisku","given":"Dakshina","non-dropping-particle":"","parse-names":false,"suffix":""},{"dropping-particle":"","family":"Dalui","given":"Mamata","non-dropping-particle":"","parse-names":false,"suffix":""}],"id":"ITEM-1","issued":{"date-parts":[["2022"]]},"page":"395-413","title":"COVID-19 Detection on Chest X-Ray and CT Scan Images Using Multi-image Augmented Deep Learning Model","type":"article-journal"},"uris":["http://www.mendeley.com/documents/?uuid=ca67f9f9-2382-47aa-b98c-501e697188d2"]}],"mendeley":{"formattedCitation":"[11]","plainTextFormattedCitation":"[11]","previouslyFormattedCitation":"[11]"},"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[11]</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and other Deep learning models</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{"citationItems":[{"id":"ITEM-1","itemData":{"DOI":"10.3803/enm.2022.1461","ISSN":"2093-596X","PMID":"35927066","abstract":"Background: Since image-based fracture prediction models using deep learning are lacking, we aimed to develop an X-ray-based fracture prediction model using deep learning with longitudinal data.Methods: This study included 1,595 participants aged 50 to 75 years with at least two lumbosacral radiographs without baseline fractures from 2010 to 2015 at Seoul National University Hospital. Positive and negative cases were defined according to whether vertebral fractures developed during follow-up. The cases were divided into training (n=1,416) and test (n=179) sets. A convolutional neural network (CNN)-based prediction algorithm, DeepSurv, was trained with images and baseline clinical information (age, sex, body mass index, glucocorticoid use, and secondary osteoporosis). The concordance index (C-index) was used to compare performance between DeepSurv and the Fracture Risk Assessment Tool (FRAX) and Cox proportional hazard (CoxPH) models.Results: Of the total participants, 1,188 (74.4%) were women, and the mean age was 60.5 years. During a mean follow-up period of 40.7 months, vertebral fractures occurred in 7.5% (120/1,595) of participants. In the test set, when DeepSurv learned with images and clinical features, it showed higher performance than FRAX and CoxPH in terms of C-index values (DeepSurv, 0.612; 95% confidence interval [CI], 0.571 to 0.653; FRAX, 0.547; CoxPH, 0.594; 95% CI, 0.552 to 0.555). Notably, the DeepSurv method without clinical features had a higher C-index (0.614; 95% CI, 0.572 to 0.656) than that of FRAX in women.Conclusion: DeepSurv, a CNN-based prediction algorithm using baseline image and clinical information, outperformed the FRAX and CoxPH models in predicting osteoporotic fracture from spine radiographs in a longitudinal cohort.","author":[{"dropping-particle":"","family":"Kong","given":"Sung Hye","non-dropping-particle":"","parse-names":false,"suffix":""},{"dropping-particle":"","family":"Lee","given":"Jae-Won","non-dropping-particle":"","parse-names":false,"suffix":""},{"dropping-particle":"","family":"Bae","given":"Byeong Uk","non-dropping-particle":"","parse-names":false,"suffix":""},{"dropping-particle":"","family":"Sung","given":"Jin Kyeong","non-dropping-particle":"","parse-names":false,"suffix":""},{"dropping-particle":"","family":"Jung","given":"Kyu Hwan","non-dropping-particle":"","parse-names":false,"suffix":""},{"dropping-particle":"","family":"Kim","given":"Jung Hee","non-dropping-particle":"","parse-names":false,"suffix":""},{"dropping-particle":"","family":"Shin","given":"Chan Soo","non-dropping-particle":"","parse-names":false,"suffix":""}],"container-title":"Endocrinology and Metabolism","id":"ITEM-1","issue":"4","issued":{"date-parts":[["2022"]]},"page":"674-683","title":"Development of a Spine X-Ray-Based Fracture Prediction Model Using a Deep Learning Algorithm","type":"article-journal","volume":"37"},"uris":["http://www.mendeley.com/documents/?uuid=b61a7066-a48b-4526-8971-8168b7ae3d4e"]}],"mendeley":{"formattedCitation":"[12]","plainTextFormattedCitation":"[12]","previouslyFormattedCitation":"[12]"},"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[12]</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as well. For prediction</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{"citationItems":[{"id":"ITEM-1","itemData":{"DOI":"10.1371/journal.pone.0245992","ISBN":"1111111111","ISSN":"19326203","PMID":"33507982","abstract":"Background Identification of vertebral fractures (VFs) is critical for effective secondary fracture prevention owing to their association with the increasing risks of future fractures. Plain abdominal frontal radiographs (PARs) are a common investigation method performed for a variety of clinical indications and provide an ideal platform for the opportunistic identification of VF. This study uses a deep convolutional neural network (DCNN) to identify the feasibility for the screening, detection, and localization of VFs using PARs. Methods A DCNN was pretrained using ImageNet and retrained with 1306 images from the PARs database obtained between August 2015 and December 2018. The accuracy, sensitivity, specificity, and area under the receiver operating characteristic curve (AUC) were evaluated. The visualization algorithm gradient-weighted class activation mapping (Grad-CAM) was used for model interpretation. Results Only 46.6% (204/438) of the VFs were diagnosed in the original PARs reports. The algorithm achieved 73.59% accuracy, 73.81% sensitivity, 73.02% specificity, and an AUC of 0.72 in the VF identification. Conclusion Computer driven solutions integrated with the DCNN have the potential to identify VFs with good accuracy when used opportunistically on PARs taken for a variety of clinical purposes. The proposed model can help clinicians become more efficient and economical in the current clinical pathway of fragile fracture treatment.","author":[{"dropping-particle":"","family":"Chen","given":"Hsuan Yu","non-dropping-particle":"","parse-names":false,"suffix":""},{"dropping-particle":"","family":"Hsu","given":"Benny Wei Yun","non-dropping-particle":"","parse-names":false,"suffix":""},{"dropping-particle":"","family":"Yin","given":"Yu Kai","non-dropping-particle":"","parse-names":false,"suffix":""},{"dropping-particle":"","family":"Lin","given":"Feng Huei","non-dropping-particle":"","parse-names":false,"suffix":""},{"dropping-particle":"","family":"Yang","given":"Tsung Han","non-dropping-particle":"","parse-names":false,"suffix":""},{"dropping-particle":"Sen","family":"Yang","given":"Rong","non-dropping-particle":"","parse-names":false,"suffix":""},{"dropping-particle":"","family":"Lee","given":"Chih Kuo","non-dropping-particle":"","parse-names":false,"suffix":""},{"dropping-particle":"","family":"Tseng","given":"Vincent S.","non-dropping-particle":"","parse-names":false,"suffix":""}],"container-title":"PLoS ONE","id":"ITEM-1","issue":"1 January","issued":{"date-parts":[["2021"]]},"page":"1-10","title":"Application of deep learning algorithm to detect and visualize vertebral fractures on plain frontal radiographs","type":"article-journal","volume":"16"},"uris":["http://www.mendeley.com/documents/?uuid=493c03a7-79f6-4f04-b1c5-34a0418ab6f0"]}],"mendeley":{"formattedCitation":"[13]","plainTextFormattedCitation":"[13]","previouslyFormattedCitation":"[13]"},"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[13]</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of bone diseases, machine learning-based techniques hold an important position and also provide effective methods specifically focusing on the women passing from the menopausal or postmenopausal phase but these methods provide reliable results for smaller groups of people but cannot work properly with the large group of individuals. In this research, we mainly focused on aged female patients more than fifty years old and developed a prediction model</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{"citationItems":[{"id":"ITEM-1","itemData":{"DOI":"10.1109/ACCESS.2019.2936492","ISSN":"21693536","abstract":"Precise and reliable segmentation of vertebral column is crucial for accurate computer aided diagnostic system (CADx). It assists the radiologists and doctors in identifying various pathologies in the vertebrae with better visualizations. Accurate segmentation of vertebral disks and bones from the medical images is a tough job and becomes more challenging when dealing with various deformities and pathologies. While remarkable success was achieved by deep convolutional neural networks (DCNNs) in medical image segmentation, it is still a difficult task for DCNNs to handle the medical image segmentation problems with various deformities and anatomical complexities. In this paper, we propose a novel and efficient framework to address the subject problem by integrating a parametric level set approach in deep convolutional neural networks. The proposed scheme utilizes the probability map of pre-trained deep network to initialize the level set and it refines the output iteratively under the action of various forces to fine-tune the training of deep network. Thus the learning of the network is improved and the network is able to accommodate high topological shape variations in the vertebrae. This proposed method was evaluated on two different datasets. The first one is 20 publically available 3D spine MRI dataset to perform disc segmentation and the second one is 173 computed tomography scans for thoracolumbar (thoracic and lumbar) vertebrae segmentation. The dice score was found to be 90.37 ± 0.9 percent for disks segmentation and 94.7 ± 1.1 with ASSD of 0.1 ± 0.04 mm for thoracolumbar vertebrae segmentation. The results reveal that our proposed method is robust over multiple segmentations and outperformed the recently published state of art methods.","author":[{"dropping-particle":"","family":"Rehman","given":"Faisal","non-dropping-particle":"","parse-names":false,"suffix":""},{"dropping-particle":"","family":"Ali Shah","given":"Syed Irtiza","non-dropping-particle":"","parse-names":false,"suffix":""},{"dropping-particle":"","family":"Riaz","given":"Naveed","non-dropping-particle":"","parse-names":false,"suffix":""},{"dropping-particle":"","family":"Gilani","given":"Syed Omer","non-dropping-particle":"","parse-names":false,"suffix":""}],"container-title":"IEEE Access","id":"ITEM-1","issued":{"date-parts":[["2019"]]},"page":"120387-120398","publisher":"IEEE","title":"A Robust Scheme of Vertebrae Segmentation for Medical Diagnosis","type":"article-journal","volume":"7"},"uris":["http://www.mendeley.com/documents/?uuid=9c919eed-4d24-4019-9c77-19645e8f6acd"]}],"mendeley":{"formattedCitation":"[14]","plainTextFormattedCitation":"[14]","previouslyFormattedCitation":"[14]"},"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[14]</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with the help of machine learning algorithms to add more varsity to the scope of the subject the data of pregnant women was also considered, to show that how the weaknesses of mother’s bones and other deficiencies can cause bone issues in the newborns. We used their medical, genetic, and physical characteristics as well as their laboratory test records as our 3 data sets from different areas for developing a well-trained and reliable prediction model. When an automated model, based on medical and technological algorithms, is used to diagnose osteoporotic issues then the risk factors</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{"citationItems":[{"id":"ITEM-1","itemData":{"DOI":"10.1016/j.media.2022.102646","ISSN":"13618423","PMID":"36279768","abstract":"Vertebral body compression fractures are early signs of osteoporosis. Though these fractures are visible on Computed Tomography (CT) images, they are frequently missed by radiologists in clinical settings. Prior research on automatic methods of vertebral fracture classification proves its reliable quality; however, existing methods provide hard-to-interpret outputs and sometimes fail to process cases with severe abnormalities such as highly pathological vertebrae or scoliosis. We propose a new two-step algorithm to localize the vertebral column in 3D CT images and then detect individual vertebrae and quantify fractures in 2D simultaneously. We train neural networks for both steps using a simple 6-keypoints based annotation scheme, which corresponds precisely to the current clinical recommendation. Our algorithm has no exclusion criteria, processes 3D CT in 2 seconds on a single GPU, and provides an interpretable and verifiable output. The method approaches expert-level performance and demonstrates state-of-the-art results in vertebrae 3D localization (the average error is 1mm), vertebrae 2D detection (precision and recall are 0.99), and fracture identification (ROC AUC at the patient level is up to 0.96). Our anchor-free vertebra detection network shows excellent generalizability on a new domain by achieving ROC AUC 0.95, sensitivity 0.85, specificity 0.9 on a challenging VerSe dataset with many unseen vertebra types.","author":[{"dropping-particle":"","family":"Zakharov","given":"Alexey","non-dropping-particle":"","parse-names":false,"suffix":""},{"dropping-particle":"","family":"Pisov","given":"Maxim","non-dropping-particle":"","parse-names":false,"suffix":""},{"dropping-particle":"","family":"Bukharaev","given":"Alim","non-dropping-particle":"","parse-names":false,"suffix":""},{"dropping-particle":"","family":"Petraikin","given":"Alexey","non-dropping-particle":"","parse-names":false,"suffix":""},{"dropping-particle":"","family":"Morozov","given":"Sergey","non-dropping-particle":"","parse-names":false,"suffix":""},{"dropping-particle":"","family":"Gombolevskiy","given":"Victor","non-dropping-particle":"","parse-names":false,"suffix":""},{"dropping-particle":"","family":"Belyaev","given":"Mikhail","non-dropping-particle":"","parse-names":false,"suffix":""}],"container-title":"Medical Image Analysis","id":"ITEM-1","issued":{"date-parts":[["2023"]]},"page":"1-25","title":"Interpretable vertebral fracture quantification via anchor-free landmarks localization","type":"article-journal","volume":"83"},"uris":["http://www.mendeley.com/documents/?uuid=82511f07-9bc0-452e-8d96-287d73743aee"]}],"mendeley":{"formattedCitation":"[15]","plainTextFormattedCitation":"[15]","previouslyFormattedCitation":"[15]"},"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[15]</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and potential problems can be reduced to half and patients having any genetic bone issue can take some precautionary measures before time.</w:t>
      </w:r>
    </w:p>
    <w:p w14:paraId="42A451CA" w14:textId="77777777" w:rsidR="00AB51AE" w:rsidRDefault="00AB51AE" w:rsidP="00AB51AE">
      <w:pPr>
        <w:keepNext w:val="0"/>
        <w:keepLines w:val="0"/>
        <w:widowControl w:val="0"/>
        <w:spacing w:before="0" w:after="0"/>
        <w:ind w:left="0" w:right="0" w:firstLine="0"/>
        <w:jc w:val="both"/>
      </w:pPr>
      <w:r w:rsidRPr="005B55D6">
        <w:rPr>
          <w:rFonts w:ascii="Minion Pro" w:hAnsi="Minion Pro"/>
          <w:i w:val="0"/>
          <w:color w:val="000000"/>
          <w:sz w:val="20"/>
          <w:u w:val="none"/>
        </w:rPr>
        <w:t>In this paper, in the first section, we provided a thorough background of the topic with a brief introduction to the topic. We also discussed causing factors of bone diseases and their prevention methods for aged people. We mainly focused on the females having problems with their bones and bone material density because normally osteoporosis is a type of disease that show fewer symptoms until it happened. In section 2, we proposed a method for the prediction of osteoporosis in women with supporting datasets from Taiwan, Korea, and China these datasets were the records of the patients who got their physical checkups and seem to have low bone density or weak bones. After this, we did some processing on the given data and derived some features from the medical reports of the patients, and use these characteristics to find our desired results. We compared the results of different models of machine learning on the data sets with traditional or existing models like OSTA</w:t>
      </w:r>
      <w:r w:rsidR="00F71DDC" w:rsidRPr="005B55D6">
        <w:rPr>
          <w:rFonts w:ascii="Minion Pro" w:hAnsi="Minion Pro"/>
          <w:i w:val="0"/>
          <w:color w:val="000000"/>
          <w:sz w:val="20"/>
          <w:u w:val="none"/>
        </w:rPr>
        <w:fldChar w:fldCharType="begin" w:fldLock="1"/>
      </w:r>
      <w:r w:rsidRPr="005B55D6">
        <w:rPr>
          <w:rFonts w:ascii="Minion Pro" w:hAnsi="Minion Pro"/>
          <w:i w:val="0"/>
          <w:color w:val="000000"/>
          <w:sz w:val="20"/>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5B55D6">
        <w:rPr>
          <w:rFonts w:ascii="Minion Pro" w:hAnsi="Minion Pro"/>
          <w:i w:val="0"/>
          <w:color w:val="000000"/>
          <w:sz w:val="20"/>
          <w:u w:val="none"/>
        </w:rPr>
        <w:fldChar w:fldCharType="separate"/>
      </w:r>
      <w:r w:rsidRPr="005B55D6">
        <w:rPr>
          <w:rFonts w:ascii="Minion Pro" w:hAnsi="Minion Pro"/>
          <w:i w:val="0"/>
          <w:noProof/>
          <w:color w:val="000000"/>
          <w:sz w:val="20"/>
          <w:u w:val="none"/>
        </w:rPr>
        <w:t>[7]</w:t>
      </w:r>
      <w:r w:rsidR="00F71DDC" w:rsidRPr="005B55D6">
        <w:rPr>
          <w:rFonts w:ascii="Minion Pro" w:hAnsi="Minion Pro"/>
          <w:i w:val="0"/>
          <w:color w:val="000000"/>
          <w:sz w:val="20"/>
          <w:u w:val="none"/>
        </w:rPr>
        <w:fldChar w:fldCharType="end"/>
      </w:r>
      <w:r w:rsidRPr="005B55D6">
        <w:rPr>
          <w:rFonts w:ascii="Minion Pro" w:hAnsi="Minion Pro"/>
          <w:i w:val="0"/>
          <w:color w:val="000000"/>
          <w:sz w:val="20"/>
          <w:u w:val="none"/>
        </w:rPr>
        <w:t>. In section</w:t>
      </w:r>
      <w:r w:rsidRPr="005B55D6">
        <w:rPr>
          <w:rFonts w:ascii="Minion Pro" w:hAnsi="Minion Pro"/>
          <w:i w:val="0"/>
          <w:color w:val="000000"/>
          <w:sz w:val="20"/>
          <w:u w:val="none"/>
        </w:rPr>
        <w:t>3, we proposed thorough and detailed models and evaluated the results, using the given features according to participants. Lastly, we provided a detailed conclusion with the results of both data sets and challenges in our research following some future trends and recommendations in the field.</w:t>
      </w:r>
    </w:p>
    <w:p w14:paraId="34E29BA8" w14:textId="77777777" w:rsidR="00045D39" w:rsidRPr="004C6F21" w:rsidRDefault="00045D39" w:rsidP="00045D39">
      <w:pPr>
        <w:pStyle w:val="Heading1"/>
        <w:keepNext w:val="0"/>
        <w:keepLines w:val="0"/>
        <w:widowControl w:val="0"/>
        <w:numPr>
          <w:ilvl w:val="0"/>
          <w:numId w:val="28"/>
        </w:numPr>
        <w:spacing w:before="0" w:after="0"/>
        <w:ind w:left="0" w:right="0" w:firstLine="0"/>
        <w:jc w:val="left"/>
        <w:rPr>
          <w:b/>
        </w:rPr>
      </w:pPr>
      <w:r w:rsidRPr="004C6F21">
        <w:rPr>
          <w:rFonts w:ascii="Minion Pro" w:hAnsi="Minion Pro"/>
          <w:b/>
          <w:i w:val="0"/>
          <w:color w:val="000000"/>
          <w:sz w:val="22"/>
          <w:u w:val="none"/>
        </w:rPr>
        <w:t>Literature Review:</w:t>
      </w:r>
    </w:p>
    <w:p w14:paraId="747A5DBC" w14:textId="77777777" w:rsidR="00045D39" w:rsidRPr="004C6F21" w:rsidRDefault="00045D39" w:rsidP="00045D39">
      <w:pPr>
        <w:keepNext w:val="0"/>
        <w:keepLines w:val="0"/>
        <w:widowControl w:val="0"/>
        <w:spacing w:before="0" w:after="0"/>
        <w:ind w:left="0" w:right="0" w:firstLine="283"/>
        <w:jc w:val="both"/>
      </w:pPr>
      <w:r w:rsidRPr="004C6F21">
        <w:rPr>
          <w:rFonts w:ascii="Minion Pro" w:hAnsi="Minion Pro"/>
          <w:i w:val="0"/>
          <w:color w:val="000000"/>
          <w:sz w:val="20"/>
          <w:u w:val="none"/>
        </w:rPr>
        <w:t>The risk of developing osteoporosis in people of more than 50 years is around millions of people in the US. According to research in 2002, the cost of treating osteoporotic patients was more than 14 billion US dollars</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author":[{"dropping-particle":"","family":"Yi","given":"Xianhong","non-dropping-particle":"","parse-names":false,"suffix":""},{"dropping-particle":"","family":"Chen","given":"Xinwei","non-dropping-particle":"","parse-names":false,"suffix":""}],"id":"ITEM-1","issued":{"date-parts":[["2022"]]},"title":"Gender-Difference Association Between Blood Pressure And Osteoporosis : Results From Henan Rural Cohort Study","type":"article-journal"},"uris":["http://www.mendeley.com/documents/?uuid=b9f1cda1-d45e-4373-97b1-36eb7bf9a32a"]}],"mendeley":{"formattedCitation":"[16]","plainTextFormattedCitation":"[16]","previouslyFormattedCitation":"[16]"},"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[16]</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 Many advanced techniques are available for early diagnosis and prevention of osteoporosis in starting phases. Different surveys and interviews are done to analyze the main causing factors which can only be done with the help of patients and their medical history. According to WHO, the most recommended and reliable way to assess osteoporosis is the analysis of bone mineral density with dual-energy X-ray absorptiometry</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[4]</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 This is a cost-effective and moderate method but it involves an adequate amount of radiation exposure. The final report includes two values, one is the T-score</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[10]</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which means the comparison of the bone health of a person with the average young person while the Z-value is the comparison of the bone health of an average young person with the bone condition of old people. Mostly T-score is commonly focused on menopausal males as well as females.</w:t>
      </w:r>
    </w:p>
    <w:p w14:paraId="156AF01B"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0"/>
          <w:u w:val="none"/>
        </w:rPr>
        <w:t>In clinical settings, the most used technique is radiographic imaging which is used for many reasons like trauma assessment or pain analysis, etc. There are multiple ways to measure bone mineral density to select postmenopausal women for research purposes.</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{"citationItems":[{"id":"ITEM-1","itemData":{"DOI":"10.1109/EMBC.2013.6609469","ISBN":"9781457702167","ISSN":"1557170X","PMID":"24109656","abstract":"A number of clinical decision tools for osteoporosis risk assessment have been developed to select postmenopausal women for the measurement of bone mineral density. We developed and validated machine learning models with the aim of more accurately identifying the risk of osteoporosis in postmenopausal women, and compared with the ability of a conventional clinical decision tool, osteoporosis self-assessment tool (OST). We collected medical records from Korean postmenopausal women based on the Korea National Health and Nutrition Surveys (KNHANES V-1). The training data set was used to construct models based on popular machine learning algorithms such as support vector machines (SVM), random forests (RF), artificial neural networks (ANN), and logistic regression (LR) based on various predictors associated with low bone density. The learning models were compared with OST. SVM had significantly better area under the curve (AUC) of the receiver operating characteristic (ROC) than ANN, LR, and OST. Validation on the test set showed that SVM predicted osteoporosis risk with an AUC of 0.827, accuracy of 76.7%, sensitivity of 77.8%, and specificity of 76.0%. We were the first to perform comparisons of the performance of osteoporosis prediction between the machine learning and conventional methods using population-based epidemiological data. The machine learning methods may be effective tools for identifying postmenopausal women at high risk for osteoporosis. © 2013 IEEE.","author":[{"dropping-particle":"","family":"Kim","given":"Sung Kean","non-dropping-particle":"","parse-names":false,"suffix":""},{"dropping-particle":"","family":"Yoo","given":"Tae Keun","non-dropping-particle":"","parse-names":false,"suffix":""},{"dropping-particle":"","family":"Oh","given":"Ein","non-dropping-particle":"","parse-names":false,"suffix":""},{"dropping-particle":"","family":"Kim","given":"Deok Won","non-dropping-particle":"","parse-names":false,"suffix":""}],"container-title":"Proceedings of the Annual International Conference of the IEEE Engineering in Medicine and Biology Society, EMBS","id":"ITEM-1","issued":{"date-parts":[["2013"]]},"page":"188-191","title":"Osteoporosis risk prediction using machine learning and conventional methods","type":"article-journal"},"uris":["http://www.mendeley.com/documents/?uuid=ef0e625b-07e0-4bdf-99c3-89edb2590b02"]}],"mendeley":{"formattedCitation":"[17]","plainTextFormattedCitation":"[17]","previouslyFormattedCitation":"[17]"},"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[17]</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was conducted to compare the advanced machine learning models with the conventional models to predict osteoporosis and the data was collected from the Korean health campaign survey KNHANES V-1</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{"citationItems":[{"id":"ITEM-1","itemData":{"DOI":"10.3390/healthcare10061107","ISSN":"22279032","abstract":"As osteoporosis is a degenerative disease related to postmenopausal aging, early diagnosis is vital. This study used data from the Korea National Health and Nutrition Examination Surveys to predict a patient’s risk of osteoporosis using machine learning algorithms. Data from 1431 postmenopausal women aged 40–69 years were used, including 20 features affecting osteoporosis, chosen by feature importance and recursive feature elimination. Random Forest (RF), AdaBoost, and Gradient Boosting (GBM) machine learning algorithms were each used to train three models: A, checkup features; B, survey features; and C, both checkup and survey features, respectively. Of the three models, Model C generated the best outcomes with an accuracy of 0.832 for RF, 0.849 for AdaBoost, and 0.829 for GBM. Its area under the receiver operating characteristic curve (AUROC) was 0.919 for RF, 0.921 for AdaBoost, and 0.908 for GBM. By utilizing multiple feature selection methods, the ensemble models of this study achieved excellent results with an AUROC score of 0.921 with AdaBoost, which is 0.1–0.2 higher than those of the best performing models from recent studies. Our model can be further improved as a practical medical tool for the early diagnosis of osteoporosis after menopause.","author":[{"dropping-particle":"","family":"Kwon","given":"Youngihn","non-dropping-particle":"","parse-names":false,"suffix":""},{"dropping-particle":"","family":"Lee","given":"Juyeon","non-dropping-particle":"","parse-names":false,"suffix":""},{"dropping-particle":"","family":"Park","given":"Joo Hee","non-dropping-particle":"","parse-names":false,"suffix":""},{"dropping-particle":"","family":"Kim","given":"Yoo Mee","non-dropping-particle":"","parse-names":false,"suffix":""},{"dropping-particle":"","family":"Kim","given":"Se Hwa","non-dropping-particle":"","parse-names":false,"suffix":""},{"dropping-particle":"","family":"Won","given":"Young Jun","non-dropping-particle":"","parse-names":false,"suffix":""},{"dropping-particle":"","family":"Kim","given":"Hyung Yong","non-dropping-particle":"","parse-names":false,"suffix":""}],"container-title":"Healthcare (Switzerland)","id":"ITEM-1","issue":"6","issued":{"date-parts":[["2022"]]},"title":"Osteoporosis Pre-Screening Using Ensemble Machine Learning in Postmenopausal Korean Women","type":"article-journal","volume":"10"},"uris":["http://www.mendeley.com/documents/?uuid=1725c4aa-d703-4d08-abda-cfcea48290fd"]}],"mendeley":{"formattedCitation":"[18]","plainTextFormattedCitation":"[18]","previouslyFormattedCitation":"[18]"},"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[18]</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 These advanced and traditional models are evaluated and compared to analyze their best results. The ML models which are used during the study were Support Vector Machine (SVM), Random Forest (RF), Artificial Neural Network (ANN), and Logistic Regression (LR). The results were in favor of SVM with AUROC of 0.827, an accuracy of 76.7%, a sensitivity of 77.8%, and a specificity of 76%, leaving behind the ANN, RF, LR, and traditional assessment model as well.</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{"citationItems":[{"id":"ITEM-1","itemData":{"DOI":"10.1109/EMBC.2013.6609469","ISBN":"9781457702167","ISSN":"1557170X","PMID":"24109656","abstract":"A number of clinical decision tools for osteoporosis risk assessment have been developed to select postmenopausal women for the measurement of bone mineral density. We developed and validated machine learning models with the aim of more accurately identifying the risk of osteoporosis in postmenopausal women, and compared with the ability of a conventional clinical decision tool, osteoporosis self-assessment tool (OST). We collected medical records from Korean postmenopausal women based on the Korea National Health and Nutrition Surveys (KNHANES V-1). The training data set was used to construct models based on popular machine learning algorithms such as support vector machines (SVM), random forests (RF), artificial neural networks (ANN), and logistic regression (LR) based on various predictors associated with low bone density. The learning models were compared with OST. SVM had significantly better area under the curve (AUC) of the receiver operating characteristic (ROC) than ANN, LR, and OST. Validation on the test set showed that SVM predicted osteoporosis risk with an AUC of 0.827, accuracy of 76.7%, sensitivity of 77.8%, and specificity of 76.0%. We were the first to perform comparisons of the performance of osteoporosis prediction between the machine learning and conventional methods using population-based epidemiological data. The machine learning methods may be effective tools for identifying postmenopausal women at high risk for osteoporosis. © 2013 IEEE.","author":[{"dropping-particle":"","family":"Kim","given":"Sung Kean","non-dropping-particle":"","parse-names":false,"suffix":""},{"dropping-particle":"","family":"Yoo","given":"Tae Keun","non-dropping-particle":"","parse-names":false,"suffix":""},{"dropping-particle":"","family":"Oh","given":"Ein","non-dropping-particle":"","parse-names":false,"suffix":""},{"dropping-particle":"","family":"Kim","given":"Deok Won","non-dropping-particle":"","parse-names":false,"suffix":""}],"container-title":"Proceedings of the Annual International Conference of the IEEE Engineering in Medicine and Biology Society, EMBS","id":"ITEM-1","issued":{"date-parts":[["2013"]]},"page":"188-191","title":"Osteoporosis risk prediction using machine learning and conventional methods","type":"article-journal"},"uris":["http://www.mendeley.com/documents/?uuid=ef0e625b-07e0-4bdf-99c3-89edb2590b02"]}],"mendeley":{"formattedCitation":"[17]","plainTextFormattedCitation":"[17]","previouslyFormattedCitation":"[17]"},"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[17]</w:t>
      </w:r>
      <w:r w:rsidR="00F71DDC" w:rsidRPr="004C6F21">
        <w:rPr>
          <w:rFonts w:ascii="Minion Pro" w:hAnsi="Minion Pro"/>
          <w:i w:val="0"/>
          <w:color w:val="000000"/>
          <w:sz w:val="20"/>
          <w:u w:val="none"/>
        </w:rPr>
        <w:fldChar w:fldCharType="end"/>
      </w:r>
    </w:p>
    <w:p w14:paraId="428A0A8F"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0"/>
          <w:u w:val="none"/>
        </w:rPr>
        <w:t>The research was conducted to assess osteoporosis using Hounsfield Units of lumbar scan with data from QCT. In this study, 70 patients were going through a lumbar CT scan and 198 lumbar vertebrae were diagnosed with spine surgery. The logistic regression method was applied to determine the T-score using three variables (gender, age, Hounsfield units) and the</w:t>
      </w:r>
      <w:r w:rsidRPr="004C6F21">
        <w:rPr>
          <w:rFonts w:ascii="Minion Pro" w:hAnsi="Minion Pro"/>
          <w:i w:val="0"/>
          <w:color w:val="000000"/>
          <w:sz w:val="20"/>
          <w:u w:val="none"/>
        </w:rPr>
        <w:t>T-score of QCT also. For the prediction of osteoporotic and non-osteoporotic vertebrae, another regression model was applied using TensorFlow and Python. This multiple regression model predicted similar T-scores. Similar T-scores were generated with different predictive models with multiple regression algorithms. Lumbar vertebrae were classified into two groups Osteoporotic and non- Osteoporotic with an accuracy of 88%. In the testing of vertebrae classification, the classification accuracy was 92.5%, and precision was 0.939%with the AUROC of 0.90</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{"citationItems":[{"id":"ITEM-1","itemData":{"DOI":"10.3340/jkns.2018.0178","ISSN":"15987876","abstract":"Objective: Bone mineral density (BMD) is an important consideration during fusion surgery. Although dual X-ray absorptiometry is considered as the gold standard for assessing BMD, quantitative computed tomography (QCT) provides more accurate data in spine osteoporosis. However, QCT has the disadvantage of additional radiation hazard and cost. The present study was to demonstrate the utility of artificial intelligence and machine learning algorithm for assessing osteoporosis using Hounsfield units (HU) of preoperative lumbar CT coupling with data of QCT. Methods: We reviewed 70 patients undergoing both QCT and conventional lumbar CT for spine surgery. The T-scores of 198 lumbar vertebra was assessed in QCT and the HU of vertebral body at the same level were measured in conventional CT by the picture archiving and communication system (PACS) system. A multiple regression algorithm was applied to predict the T-score using three independent variables (age, sex, and HU of vertebral body on conventional CT) coupling with T-score of QCT. Next, a logistic regression algorithm was applied to predict osteoporotic or non-osteoporotic vertebra. The Tensor flow and Python were used as the machine learning tools. The Tensor flow user interface developed in our institute was used for easy code generation. Results: The predictive model with multiple regression algorithm estimated similar T-scores with data of QCT. HU demonstrates the similar results as QCT without the discordance in only one non-osteoporotic vertebra that indicated osteoporosis. From the training set, the predictive model classified the lumbar vertebra into two groups (osteoporotic vs. non-osteoporotic spine) with 88.0% accuracy. In a test set of 40 vertebrae, classification accuracy was 92.5% when the learning rate was 0.0001 (precision, 0.939; recall, 0.969; F1 score, 0.954; area under the curve, 0.900). Conclusion: This study is a simple machine learning model applicable in the spine research field. The machine learning model can predict the T-score and osteoporotic vertebrae solely by measuring the HU of conventional CT, and this would help spine surgeons not to under-estimate the osteoporotic spine preoperatively. If applied to a bigger data set, we believe the predictive accuracy of our model will further increase. We propose that machine learning is an important modality of the medical research field.","author":[{"dropping-particle":"","family":"Nam","given":"Kyoung Hyup","non-dropping-particle":"","parse-names":false,"suffix":""},{"dropping-particle":"","family":"Seo","given":"Il","non-dropping-particle":"","parse-names":false,"suffix":""},{"dropping-particle":"","family":"Kim","given":"Dong Hwan","non-dropping-particle":"","parse-names":false,"suffix":""},{"dropping-particle":"Il","family":"Lee","given":"Jae","non-dropping-particle":"","parse-names":false,"suffix":""},{"dropping-particle":"","family":"Choi","given":"Byung Kwan","non-dropping-particle":"","parse-names":false,"suffix":""},{"dropping-particle":"","family":"Han","given":"In Ho","non-dropping-particle":"","parse-names":false,"suffix":""}],"container-title":"Journal of Korean Neurosurgical Society","id":"ITEM-1","issue":"4","issued":{"date-parts":[["2019"]]},"page":"442-449","title":"Machine learning model to predict osteoporotic spine with hounsfield units on lumbar computed tomography","type":"article-journal","volume":"62"},"uris":["http://www.mendeley.com/documents/?uuid=9f13d70a-dbf4-4446-a9d2-4504c424cc4a"]}],"mendeley":{"formattedCitation":"[19]","plainTextFormattedCitation":"[19]","previouslyFormattedCitation":"[19]"},"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[19]</w:t>
      </w:r>
      <w:r w:rsidR="00F71DDC" w:rsidRPr="004C6F21">
        <w:rPr>
          <w:rFonts w:ascii="Minion Pro" w:hAnsi="Minion Pro"/>
          <w:i w:val="0"/>
          <w:color w:val="000000"/>
          <w:sz w:val="20"/>
          <w:u w:val="none"/>
        </w:rPr>
        <w:fldChar w:fldCharType="end"/>
      </w:r>
      <w:r w:rsidR="00080A7B">
        <w:rPr>
          <w:rFonts w:ascii="Minion Pro" w:hAnsi="Minion Pro"/>
          <w:i w:val="0"/>
          <w:color w:val="000000"/>
          <w:sz w:val="20"/>
          <w:u w:val="none"/>
        </w:rPr>
        <w:t>.</w:t>
      </w:r>
    </w:p>
    <w:p w14:paraId="44C3E61E"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0"/>
          <w:u w:val="none"/>
        </w:rPr>
        <w:t>In 2022, a project was initialized to gather information on radiomics</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{"citationItems":[{"id":"ITEM-1","itemData":{"DOI":"10.1016/j.acra.2020.03.046","ISSN":"18784046","PMID":"32386949","abstract":"Rationale and Objectives: Signal intensity of the lumbar spine in magnetic resonance imaging (MRI) correlates to bone mineral density (BMD). This study aims to explore a lumbar spine magnetic resonance imaging based on the radiomics model for detecting osteoporosis. Materials and Methods: A total of 109 patients, who underwent both dual-energy X-ray absorptiometry (DEXA) and MRI of the lumbar spine, were recruited. Among these patients, 38 patients were normal, 32 patients had osteopenia, and 39 patients had osteoporosis, according to the DEXA results. A total of 396 × 2 radiomic features were extracted from the T1WI and T2WI images of the segmentation images in the lumbar magnetic resonance imaging. The correlated radiomic features were selected to establish the radiomic classification model. Then, the classification models (based on T1WI, T2WI, and T1WI+T2WI) of normal vs. osteopenia, normal vs. osteoporosis, and osteopenia vs. osteoporosis were established. The performance of the classification models was evaluated through the estimated area under the receiver operating characteristic curve. Results: The area under the receiver operating characteristic curves based on T1WI, T2WI, and T1WI+T2WI were 0.772, 0.772, and 0.810, respectively, for the models of normal vs. osteopenia, 0.724, 0.682, and 0.797, respectively, for the models of normal vs. osteoporosis, and 0.730, 0.734, and 0.769, respectively, for the models of osteopenia vs. osteoporosis. Conclusion: Radiomic models established based on lumbar spine MRI can be used to detect osteoporosis.","author":[{"dropping-particle":"","family":"He","given":"Li","non-dropping-particle":"","parse-names":false,"suffix":""},{"dropping-particle":"","family":"Liu","given":"Zhai","non-dropping-particle":"","parse-names":false,"suffix":""},{"dropping-particle":"","family":"Liu","given":"Chunying","non-dropping-particle":"","parse-names":false,"suffix":""},{"dropping-particle":"","family":"Gao","given":"Zhimei","non-dropping-particle":"","parse-names":false,"suffix":""},{"dropping-particle":"","family":"Ren","given":"Qingyun","non-dropping-particle":"","parse-names":false,"suffix":""},{"dropping-particle":"","family":"Lei","given":"Licun","non-dropping-particle":"","parse-names":false,"suffix":""},{"dropping-particle":"","family":"Ren","given":"Jialiang","non-dropping-particle":"","parse-names":false,"suffix":""}],"container-title":"Academic Radiology","id":"ITEM-1","issue":"6","issued":{"date-parts":[["2021"]]},"page":"e165-e171","title":"Radiomics Based on Lumbar Spine Magnetic Resonance Imaging to Detect Osteoporosis","type":"article-journal","volume":"28"},"uris":["http://www.mendeley.com/documents/?uuid=a91b2414-1bd3-499e-8607-8fedd33c93c0"]}],"mendeley":{"formattedCitation":"[20]","plainTextFormattedCitation":"[20]","previouslyFormattedCitation":"[20]"},"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[20]</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from spinal or pelvic X-rays to categorize the risk factors into “low”, “average” and “high”. In this</w:t>
      </w:r>
      <w:proofErr w:type="spellStart"/>
      <w:proofErr w:type="gramStart"/>
      <w:r w:rsidRPr="004C6F21">
        <w:rPr>
          <w:rFonts w:ascii="Minion Pro" w:hAnsi="Minion Pro"/>
          <w:i w:val="0"/>
          <w:color w:val="000000"/>
          <w:sz w:val="20"/>
          <w:u w:val="none"/>
        </w:rPr>
        <w:t>study,a</w:t>
      </w:r>
      <w:proofErr w:type="spellEnd"/>
      <w:proofErr w:type="gramEnd"/>
      <w:r w:rsidRPr="004C6F21">
        <w:rPr>
          <w:rFonts w:ascii="Minion Pro" w:hAnsi="Minion Pro"/>
          <w:i w:val="0"/>
          <w:color w:val="000000"/>
          <w:sz w:val="20"/>
          <w:u w:val="none"/>
        </w:rPr>
        <w:t>total of 109 persons participated 38 were normal</w:t>
      </w:r>
      <w:proofErr w:type="gramStart"/>
      <w:r w:rsidRPr="004C6F21">
        <w:rPr>
          <w:rFonts w:ascii="Minion Pro" w:hAnsi="Minion Pro"/>
          <w:i w:val="0"/>
          <w:color w:val="000000"/>
          <w:sz w:val="20"/>
          <w:u w:val="none"/>
        </w:rPr>
        <w:t>without s</w:t>
      </w:r>
      <w:proofErr w:type="gramEnd"/>
      <w:r w:rsidRPr="004C6F21">
        <w:rPr>
          <w:rFonts w:ascii="Minion Pro" w:hAnsi="Minion Pro"/>
          <w:i w:val="0"/>
          <w:color w:val="000000"/>
          <w:sz w:val="20"/>
          <w:u w:val="none"/>
        </w:rPr>
        <w:t>any issues, 32 have osteopenia and 39 have 0steoporosis.The basic idea was not to replace or remove the DEXA technique but to develop a system with the qualities of proactively identifying the potential presence of osteoporosis with magnetic resonance imaging with radiomics, after selecting some common features in the participants. The AUROC results were 0.772, 0.772, and 0.778 respectively.</w:t>
      </w:r>
    </w:p>
    <w:p w14:paraId="2A5FE265" w14:textId="77777777" w:rsidR="00045D39" w:rsidRPr="00AC5734" w:rsidRDefault="00045D39" w:rsidP="00045D39">
      <w:pPr>
        <w:pStyle w:val="Heading1"/>
        <w:keepNext w:val="0"/>
        <w:keepLines w:val="0"/>
        <w:widowControl w:val="0"/>
        <w:numPr>
          <w:ilvl w:val="0"/>
          <w:numId w:val="28"/>
        </w:numPr>
        <w:spacing w:before="0" w:after="0"/>
        <w:ind w:left="0" w:right="0" w:firstLine="0"/>
        <w:jc w:val="left"/>
        <w:rPr>
          <w:b/>
        </w:rPr>
      </w:pPr>
      <w:r w:rsidRPr="00AC5734">
        <w:rPr>
          <w:rFonts w:ascii="Minion Pro" w:hAnsi="Minion Pro"/>
          <w:b/>
          <w:i w:val="0"/>
          <w:color w:val="000000"/>
          <w:sz w:val="22"/>
          <w:u w:val="none"/>
        </w:rPr>
        <w:t>Datasets:</w:t>
      </w:r>
    </w:p>
    <w:p w14:paraId="3B7CF9D5" w14:textId="77777777" w:rsidR="00045D39" w:rsidRPr="004C6F21" w:rsidRDefault="00045D39" w:rsidP="00045D39">
      <w:pPr>
        <w:pStyle w:val="Heading2"/>
        <w:keepNext w:val="0"/>
        <w:keepLines w:val="0"/>
        <w:widowControl w:val="0"/>
        <w:spacing w:before="0" w:after="0"/>
        <w:ind w:left="0" w:right="0" w:firstLine="0"/>
        <w:jc w:val="left"/>
      </w:pPr>
      <w:r w:rsidRPr="004C6F21">
        <w:rPr>
          <w:rFonts w:ascii="Minion Pro" w:hAnsi="Minion Pro"/>
          <w:b/>
          <w:i/>
          <w:color w:val="000000"/>
          <w:sz w:val="22"/>
          <w:u w:val="none"/>
        </w:rPr>
        <w:t>Dataset 1:</w:t>
      </w:r>
    </w:p>
    <w:p w14:paraId="4489429C" w14:textId="77777777" w:rsidR="00045D39" w:rsidRPr="004C6F21" w:rsidRDefault="00045D39" w:rsidP="00045D39">
      <w:pPr>
        <w:keepNext w:val="0"/>
        <w:keepLines w:val="0"/>
        <w:widowControl w:val="0"/>
        <w:spacing w:before="0" w:after="0"/>
        <w:ind w:left="0" w:right="0" w:firstLine="283"/>
        <w:jc w:val="both"/>
      </w:pPr>
      <w:r w:rsidRPr="004C6F21">
        <w:rPr>
          <w:rFonts w:ascii="Minion Pro" w:hAnsi="Minion Pro"/>
          <w:i w:val="0"/>
          <w:color w:val="000000"/>
          <w:sz w:val="20"/>
          <w:u w:val="none"/>
        </w:rPr>
        <w:t>The first dataset was comprised of individuals who went through complete checkups in the medical centers in Taiwan from2008 to 2018</w:t>
      </w:r>
      <w:r w:rsidR="00F71DDC" w:rsidRPr="004C6F21">
        <w:rPr>
          <w:rFonts w:ascii="Minion Pro" w:hAnsi="Minion Pro"/>
          <w:b/>
          <w:i w:val="0"/>
          <w:color w:val="000000"/>
          <w:sz w:val="20"/>
          <w:u w:val="none"/>
        </w:rPr>
        <w:fldChar w:fldCharType="begin" w:fldLock="1"/>
      </w:r>
      <w:r w:rsidRPr="004C6F21">
        <w:rPr>
          <w:rFonts w:ascii="Minion Pro" w:hAnsi="Minion Pro"/>
          <w:b/>
          <w:i w:val="0"/>
          <w:color w:val="000000"/>
          <w:sz w:val="20"/>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4C6F21">
        <w:rPr>
          <w:rFonts w:ascii="Minion Pro" w:hAnsi="Minion Pro"/>
          <w:b/>
          <w:i w:val="0"/>
          <w:color w:val="000000"/>
          <w:sz w:val="20"/>
          <w:u w:val="none"/>
        </w:rPr>
        <w:fldChar w:fldCharType="separate"/>
      </w:r>
      <w:r w:rsidRPr="004C6F21">
        <w:rPr>
          <w:rFonts w:ascii="Minion Pro" w:hAnsi="Minion Pro"/>
          <w:i w:val="0"/>
          <w:noProof/>
          <w:color w:val="000000"/>
          <w:sz w:val="20"/>
          <w:u w:val="none"/>
        </w:rPr>
        <w:t>[7]</w:t>
      </w:r>
      <w:r w:rsidR="00F71DDC" w:rsidRPr="004C6F21">
        <w:rPr>
          <w:rFonts w:ascii="Minion Pro" w:hAnsi="Minion Pro"/>
          <w:b/>
          <w:i w:val="0"/>
          <w:color w:val="000000"/>
          <w:sz w:val="20"/>
          <w:u w:val="none"/>
        </w:rPr>
        <w:fldChar w:fldCharType="end"/>
      </w:r>
      <w:r>
        <w:rPr>
          <w:rFonts w:ascii="Minion Pro" w:hAnsi="Minion Pro"/>
          <w:b/>
          <w:i w:val="0"/>
          <w:color w:val="000000"/>
          <w:sz w:val="20"/>
          <w:u w:val="none"/>
        </w:rPr>
      </w:r>
      <w:r w:rsidRPr="00AC5734">
        <w:rPr>
          <w:rFonts w:ascii="Minion Pro" w:hAnsi="Minion Pro"/>
          <w:i w:val="0"/>
          <w:color w:val="000000"/>
          <w:sz w:val="20"/>
          <w:u w:val="none"/>
        </w:rPr>
        <w:t>as shown in fig. 1</w:t>
      </w:r>
      <w:r w:rsidRPr="004C6F21">
        <w:rPr>
          <w:rFonts w:ascii="Minion Pro" w:hAnsi="Minion Pro"/>
          <w:i w:val="0"/>
          <w:color w:val="000000"/>
          <w:sz w:val="20"/>
          <w:u w:val="none"/>
        </w:rPr>
        <w:t>. In these examinations, the medical history, family medical history, and way of living were considered they also checked the main symptoms or signs of having osteoporosis like lower back weakness, the height of patients, and their weights as well. Their test results were different but as a whole two things were required from them which were hematological and biochemical records. One important thing which is mostly considered for examining the bone's health is BMD at the lumbar spine and bilateral hip joints. Young, healthy individuals of the same gender, age, and ethnicity had their BMD findings compared to those of others in similar circumstances. The lowest T-score was used to differentiate between osteoporotic and normal people as in the comprehensive report. The T-score illustrates the standard deviation of healthy patients from the others.</w:t>
      </w:r>
    </w:p>
    <w:p w14:paraId="60CD3988" w14:textId="77777777" w:rsidR="00045D39" w:rsidRPr="004C6F21" w:rsidRDefault="00045D39" w:rsidP="00045D39">
      <w:pPr>
        <w:keepNext w:val="0"/>
        <w:keepLines w:val="0"/>
        <w:widowControl w:val="0"/>
        <w:spacing w:before="0" w:after="0"/>
        <w:ind w:left="0" w:right="0" w:firstLine="0"/>
        <w:jc w:val="both"/>
      </w:pPr>
    </w:p>
    <w:p w14:paraId="3C24EE99" w14:textId="77777777" w:rsidR="00045D39" w:rsidRDefault="00045D39" w:rsidP="00045D39">
      <w:pPr>
        <w:keepNext w:val="0"/>
        <w:keepLines w:val="0"/>
        <w:widowControl w:val="0"/>
        <w:spacing w:before="0" w:after="0"/>
        <w:ind w:left="0" w:right="0" w:firstLine="0"/>
        <w:jc w:val="both"/>
        <w:rPr>
          <w:sz w:val="16"/>
          <w:szCs w:val="16"/>
        </w:rPr>
      </w:pPr>
      <w:r w:rsidRPr="00045D39">
        <w:rPr>
          <w:rFonts w:ascii="Minion Pro" w:hAnsi="Minion Pro"/>
          <w:i w:val="0"/>
          <w:color w:val="000000"/>
          <w:sz w:val="20"/>
          <w:szCs w:val="16"/>
          <w:u w:val="none"/>
        </w:rPr>
        <w:t xml:space="preserve"> </w:t>
      </w:r>
      <w:r w:rsidRPr="00AC5734">
        <w:rPr>
          <w:rFonts w:ascii="Minion Pro" w:hAnsi="Minion Pro"/>
          <w:i w:val="0"/>
          <w:color w:val="000000"/>
          <w:sz w:val="20"/>
          <w:szCs w:val="16"/>
          <w:u w:val="none"/>
        </w:rPr>
        <w:t>Fig.1 Flowchart of dataset 1 and pre-processing of patients HRT (hormone replacement therapy) BP (blood pressure)</w:t>
      </w:r>
    </w:p>
    <w:p>
      <w:pPr>
        <w:jc w:val="center"/>
      </w:pPr>
      <w:r>
        <w:r>
          <w:r>
            <w:rPr>
              <w:rFonts w:ascii="Minion Pro" w:hAnsi="Minion Pro"/>
              <w:i w:val="0"/>
              <w:noProof/>
              <w:color w:val="000000"/>
              <w:sz w:val="20"/>
              <w:u w:val="none"/>
            </w:rPr>
            <w:drawing>
              <wp:inline distT="0" distB="0" distL="0" distR="0" wp14:anchorId="775062A5" wp14:editId="61E549A7">
                <wp:extent cx="2529499" cy="3038302"/>
                <wp:effectExtent l="19050" t="0" r="0" b="0"/>
                <wp:docPr id="29" name="Picture 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6"/>
                        <a:stretch>
                          <a:fillRect/>
                        </a:stretch>
                      </pic:blipFill>
                      <pic:spPr>
                        <a:xfrm>
                          <a:off x="0" y="0"/>
                          <a:ext cx="2977983" cy="3576997"/>
                        </a:xfrm>
                        <a:prstGeom prst="rect">
                          <a:avLst/>
                        </a:prstGeom>
                      </pic:spPr>
                    </pic:pic>
                  </a:graphicData>
                </a:graphic>
              </wp:inline>
            </w:drawing>
          </w:r>
        </w:r>
      </w:r>
    </w:p>
    <w:p w14:paraId="6FE23567" w14:textId="77777777" w:rsidR="00045D39" w:rsidRPr="00AC5734" w:rsidRDefault="00045D39" w:rsidP="00045D39">
      <w:pPr>
        <w:keepNext w:val="0"/>
        <w:keepLines w:val="0"/>
        <w:widowControl w:val="0"/>
        <w:spacing w:before="0" w:after="0"/>
        <w:ind w:left="0" w:right="0" w:firstLine="0"/>
        <w:jc w:val="both"/>
        <w:rPr>
          <w:sz w:val="16"/>
          <w:szCs w:val="16"/>
        </w:rPr>
      </w:pPr>
    </w:p>
    <w:p w14:paraId="542797BE"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0"/>
          <w:u w:val="none"/>
        </w:rPr>
        <w:t>Different features of the medical reports of patients were selected like the health of their bones, physical health, diabetes history, hypertension issues, functioning of the liver, blood flow</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author":[{"dropping-particle":"","family":"Yi","given":"Xianhong","non-dropping-particle":"","parse-names":false,"suffix":""},{"dropping-particle":"","family":"Chen","given":"Xinwei","non-dropping-particle":"","parse-names":false,"suffix":""}],"id":"ITEM-1","issued":{"date-parts":[["2022"]]},"title":"Gender-Difference Association Between Blood Pressure And Osteoporosis : Results From Henan Rural Cohort Study","type":"article-journal"},"uris":["http://www.mendeley.com/documents/?uuid=b9f1cda1-d45e-4373-97b1-36eb7bf9a32a"]}],"mendeley":{"formattedCitation":"[16]","plainTextFormattedCitation":"[16]","previouslyFormattedCitation":"[16]"},"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[16]</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 protein in the blood, iron concentration in bones, electrolytes, thyroid function, lipid condition, obstetrics and most importantly gynecological records also. These medical records were thoroughly examined and analyzed to predict any bone deficiency or loss of bone density. The most common and most representative features from each domain were selected to analyze the noticeable difference between the healthy BMD group and decreased BMD group for better predictions. After the whole observation, 15 inputs were selected for females. These features included age, physical health, diabetes history, hypertension issues, functioning of the liver, parity, and protein in the blood, waist circumference, electrolytes, thyroid function</w:t>
      </w:r>
      <w:r w:rsidR="00F71DDC" w:rsidRPr="004C6F21">
        <w:rPr>
          <w:rFonts w:ascii="Minion Pro" w:hAnsi="Minion Pro"/>
          <w:b/>
          <w:i w:val="0"/>
          <w:color w:val="000000"/>
          <w:sz w:val="20"/>
          <w:u w:val="none"/>
        </w:rPr>
        <w:fldChar w:fldCharType="begin" w:fldLock="1"/>
      </w:r>
      <w:r w:rsidRPr="004C6F21">
        <w:rPr>
          <w:rFonts w:ascii="Minion Pro" w:hAnsi="Minion Pro"/>
          <w:b/>
          <w:i w:val="0"/>
          <w:color w:val="000000"/>
          <w:sz w:val="20"/>
          <w:u w:val="none"/>
        </w:rPr>
        <w:instrText>ADDIN CSL_CITATION {"citationItems":[{"id":"ITEM-1","itemData":{"abstract":"Osteoporosis is a significant health and economic issue, as it predisposes patients to a higher risk of bone fracture. Measuring bone mineral density has been shown to be an accurate way to assess the risk for osteoporosis. The most common way for bone density testing is a dual-energy X-ray absorptiometry (DEXA) scan, which may be recommended for patients with increased risk of osteoporosis. Radiograph imaging is widely available in clinical settings and acquired for many reasons, such as trauma or pain. The goal of this project is to extract radiomics information from pelvic X-rays (both the hip and femoral neck regions) to assess the risk of osteoporosis (triaging patients into \"normal\" vs. \"at-risk\", or \"low risk\" vs. \"high risk\" categories). The motivation here is not to replace the DEXA scan but to proactively identify patients at risk for osteoporosis and appropriately refer them to management options. We apply machine learning-based radiomics techniques on a study cohort of 565 patients. Our preliminary results show that a correlation between the radiomics features extracted from pelvic X-rays and the level of osteoporosis risk derived from the DEXA test results.Copyright The copyright holder for this preprint is the author/funder, who has granted medRxiv a license to display the preprint in perpetuity. It is made available under a CC-BY-NC-ND 4.0 International license.","author":[{"dropping-particle":"","family":"Dadsetan","given":"S","non-dropping-particle":"","parse-names":false,"suffix":""},{"dropping-particle":"","family":"Kitamura","given":"G","non-dropping-particle":"","parse-names":false,"suffix":""},{"dropping-particle":"","family":"Arefan","given":"D","non-dropping-particle":"","parse-names":false,"suffix":""},{"dropping-particle":"","family":"Guo","given":"Y","non-dropping-particle":"","parse-names":false,"suffix":""},{"dropping-particle":"","family":"Clancy","given":"K","non-dropping-particle":"","parse-names":false,"suffix":""},{"dropping-particle":"","family":"Yang","given":"L","non-dropping-particle":"","parse-names":false,"suffix":""},{"dropping-particle":"","family":"Wu","given":"S","non-dropping-particle":"","parse-names":false,"suffix":""}],"container-title":"medRxiv","id":"ITEM-1","issued":{"date-parts":[["2022"]]},"page":"0-7","title":"Machine Learning and Radiomics for Osteoporosis Risk Prediction Using X-ray Imaging","type":"article-journal"},"uris":["http://www.mendeley.com/documents/?uuid=ad0d033f-e4ec-485a-b2d8-5b6164fcb34e"]}],"mendeley":{"formattedCitation":"[21]","plainTextFormattedCitation":"[21]","previouslyFormattedCitation":"[21]"},"properties":{"noteIndex":0},"schema":"https://github.com/citation-style-language/schema/raw/master/csl-citation.json"}</w:instrText>
      </w:r>
      <w:r w:rsidR="00F71DDC" w:rsidRPr="004C6F21">
        <w:rPr>
          <w:rFonts w:ascii="Minion Pro" w:hAnsi="Minion Pro"/>
          <w:b/>
          <w:i w:val="0"/>
          <w:color w:val="000000"/>
          <w:sz w:val="20"/>
          <w:u w:val="none"/>
        </w:rPr>
        <w:fldChar w:fldCharType="separate"/>
      </w:r>
      <w:r w:rsidRPr="004C6F21">
        <w:rPr>
          <w:rFonts w:ascii="Minion Pro" w:hAnsi="Minion Pro"/>
          <w:i w:val="0"/>
          <w:noProof/>
          <w:color w:val="000000"/>
          <w:sz w:val="20"/>
          <w:u w:val="none"/>
        </w:rPr>
        <w:t>[21]</w:t>
      </w:r>
      <w:r w:rsidR="00F71DDC" w:rsidRPr="004C6F21">
        <w:rPr>
          <w:rFonts w:ascii="Minion Pro" w:hAnsi="Minion Pro"/>
          <w:b/>
          <w:i w:val="0"/>
          <w:color w:val="000000"/>
          <w:sz w:val="20"/>
          <w:u w:val="none"/>
        </w:rPr>
        <w:fldChar w:fldCharType="end"/>
      </w:r>
      <w:r w:rsidRPr="004C6F21">
        <w:rPr>
          <w:rFonts w:ascii="Minion Pro" w:hAnsi="Minion Pro"/>
          <w:i w:val="0"/>
          <w:color w:val="000000"/>
          <w:sz w:val="20"/>
          <w:u w:val="none"/>
        </w:rPr>
        <w:t>, lipid condition, obstetrics, and most importantly gynecological records, menopause status, and hormone replacement therapy (HRT) records as well. Having a prior history of diagnosis and a blood pressure reading of more than 140 millimeters were used to define diabetes and hypertension.</w:t>
      </w:r>
    </w:p>
    <w:p w14:paraId="0DF54073" w14:textId="77777777" w:rsidR="00045D39" w:rsidRPr="00AC5734" w:rsidRDefault="00045D39" w:rsidP="00045D39">
      <w:pPr>
        <w:pStyle w:val="Heading2"/>
        <w:keepNext w:val="0"/>
        <w:keepLines w:val="0"/>
        <w:widowControl w:val="0"/>
        <w:spacing w:before="0" w:after="0"/>
        <w:ind w:left="0" w:right="0" w:firstLine="0"/>
        <w:jc w:val="left"/>
      </w:pPr>
      <w:r w:rsidRPr="00AC5734">
        <w:rPr>
          <w:rFonts w:ascii="Minion Pro" w:hAnsi="Minion Pro"/>
          <w:b/>
          <w:i/>
          <w:color w:val="000000"/>
          <w:sz w:val="22"/>
          <w:u w:val="none"/>
        </w:rPr>
        <w:t>Dataset 2:</w:t>
      </w:r>
    </w:p>
    <w:p w14:paraId="14B628E3" w14:textId="77777777" w:rsidR="00045D39" w:rsidRDefault="00045D39" w:rsidP="00045D39">
      <w:pPr>
        <w:keepNext w:val="0"/>
        <w:keepLines w:val="0"/>
        <w:widowControl w:val="0"/>
        <w:spacing w:before="0" w:after="0"/>
        <w:ind w:left="0" w:right="0" w:firstLine="283"/>
        <w:jc w:val="both"/>
      </w:pPr>
      <w:r w:rsidRPr="004C6F21">
        <w:rPr>
          <w:rFonts w:ascii="Minion Pro" w:hAnsi="Minion Pro"/>
          <w:i w:val="0"/>
          <w:color w:val="000000"/>
          <w:sz w:val="20"/>
          <w:u w:val="none"/>
        </w:rPr>
        <w:t>The second dataset was Korean Health and Nutrition Examination Surveys (KNHANES)</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{"citationItems":[{"id":"ITEM-1","itemData":{"DOI":"10.1007/s11657-020-00802-8","ISSN":"18623514","PMID":"33097976","abstract":"Summary: Many predictive tools have been reported for assessing osteoporosis risk. The development and validation of osteoporosis risk prediction models were supported by machine learning. Introduction: Osteoporosis is a silent disease until it results in fragility fractures. However, early diagnosis of osteoporosis provides an opportunity to detect and prevent fractures. We aimed to develop machine learning approaches to achieve high predictive ability for osteoporosis risk that could help primary care providers identify which women are at increased risk of osteoporosis and should therefore undergo further testing with bone densitometry. Methods: We included all postmenopausal Korean women from the Korea National Health and Nutrition Examination Surveys (KNHANES V-1, V-2) conducted in 2010 and 2011. Machine learning models using methods such as the k-nearest neighbors (KNN), decision tree (DT), random forest (RF), gradient boosting machine (GBM), support vector machine (SVM), artificial neural networks (ANN), and logistic regression (LR) were developed to predict osteoporosis risk. We analyzed the effect of applying the machine learning algorithms to the raw data and featuring the selected data only where the statistically significant variables were included as model inputs. The accuracy, sensitivity, specificity, and area under the receiver operating characteristic curve (AUROC) were used to evaluate performance among the seven models. Results: A total of 1792 patients were included in this study, of which 613 had osteoporosis. The raw data consisted of 19 variables and achieved performances (in terms of AUROCs) of 0.712, 0.684, 0.727, 0.652, 0.724, 0.741, and 0.726 for KNN, DT, RF, GBM, SVM, ANN, and LR with fivefold cross-validation, respectively. The feature selected data consisted of nine variables and achieved performances (in terms of AUROCs) of 0.713, 0.685, 0.734, 0.728, 0.728, 0.743, and 0.727 for KNN, DT, RF, GBM, SVM, ANN, and LR with fivefold cross-validation, respectively. Conclusion: In this study, we developed and compared seven machine learning models to accurately predict osteoporosis risk. The ANN model performed best when compared to the other models, having the highest AUROC value. Applying the ANN model in the clinical environment could help primary care providers stratify osteoporosis patients and improve the prevention, detection, and early treatment of osteoporosis.","author":[{"dropping-particle":"","family":"Shim","given":"Jae Geum","non-dropping-particle":"","parse-names":false,"suffix":""},{"dropping-particle":"","family":"Kim","given":"Dong Woo","non-dropping-particle":"","parse-names":false,"suffix":""},{"dropping-particle":"","family":"Ryu","given":"Kyoung Ho","non-dropping-particle":"","parse-names":false,"suffix":""},{"dropping-particle":"","family":"Cho","given":"Eun Ah","non-dropping-particle":"","parse-names":false,"suffix":""},{"dropping-particle":"","family":"Ahn","given":"Jin Hee","non-dropping-particle":"","parse-names":false,"suffix":""},{"dropping-particle":"","family":"Kim","given":"Jeong In","non-dropping-particle":"","parse-names":false,"suffix":""},{"dropping-particle":"","family":"Lee","given":"Sung Hyun","non-dropping-particle":"","parse-names":false,"suffix":""}],"container-title":"Archives of Osteoporosis","id":"ITEM-1","issue":"1","issued":{"date-parts":[["2020"]]},"publisher":"Archives of Osteoporosis","title":"Application of machine learning approaches for osteoporosis risk prediction in postmenopausal women","type":"article-journal","volume":"15"},"uris":["http://www.mendeley.com/documents/?uuid=64231308-2ab8-4283-ad5b-e1fbca4d7f74"]}],"mendeley":{"formattedCitation":"[22]","plainTextFormattedCitation":"[22]","previouslyFormattedCitation":"[22]"},"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[22]</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from 2010 to 2011; this data included the medical information of</w:t>
      </w:r>
      <w:r w:rsidRPr="004C6F21">
        <w:rPr>
          <w:rFonts w:ascii="Minion Pro" w:hAnsi="Minion Pro"/>
          <w:i w:val="0"/>
          <w:color w:val="000000"/>
          <w:sz w:val="20"/>
          <w:u w:val="none"/>
        </w:rPr>
        <w:lastRenderedPageBreak/>
        <w:t>1792 postmenopausal women. From the total number of participants only 613 females were diagnosed with osteoporosis. KNHANES is a type of survey that has been conducted to analyze the health and nutritional condition and for risk assessment of the occurrence of various serious diseases. The main purpose of the study is to provide data to national organizations for analyzing health conditions and revision of policies regarding health. The data of the patients were analyzed with the R software version and preprocessing was also done to extract some common features. The whole data of KNHANES is divided into two categories like training and testing data sets.</w:t>
      </w:r>
    </w:p>
    <w:p w14:paraId="2B4B4D48" w14:textId="77777777" w:rsidR="00771BBE" w:rsidRDefault="00771BBE" w:rsidP="00045D39">
      <w:pPr>
        <w:keepNext w:val="0"/>
        <w:keepLines w:val="0"/>
        <w:widowControl w:val="0"/>
        <w:spacing w:before="0" w:after="0"/>
        <w:ind w:left="0" w:right="0" w:firstLine="0"/>
        <w:jc w:val="both"/>
      </w:pPr>
    </w:p>
    <w:p w14:paraId="02E07B35" w14:textId="77777777" w:rsidR="00045D39" w:rsidRPr="004B2C37" w:rsidRDefault="00045D39" w:rsidP="008D2FF7">
      <w:pPr>
        <w:keepNext w:val="0"/>
        <w:keepLines w:val="0"/>
        <w:widowControl w:val="0"/>
        <w:spacing w:after="0" w:afterAutospacing="1" w:before="0"/>
        <w:ind w:left="0" w:right="0" w:firstLine="0"/>
        <w:jc w:val="both"/>
        <w:rPr>
          <w:sz w:val="16"/>
          <w:szCs w:val="16"/>
        </w:rPr>
      </w:pPr>
      <w:r w:rsidRPr="00045D39">
        <w:rPr>
          <w:rFonts w:ascii="Minion Pro" w:hAnsi="Minion Pro"/>
          <w:i w:val="0"/>
          <w:color w:val="000000"/>
          <w:sz w:val="20"/>
          <w:szCs w:val="16"/>
          <w:u w:val="none"/>
        </w:rPr>
        <w:t xml:space="preserve"> </w:t>
      </w:r>
      <w:r w:rsidRPr="004B2C37">
        <w:rPr>
          <w:rFonts w:ascii="Minion Pro" w:hAnsi="Minion Pro"/>
          <w:i w:val="0"/>
          <w:color w:val="000000"/>
          <w:sz w:val="20"/>
          <w:szCs w:val="16"/>
          <w:u w:val="none"/>
        </w:rPr>
        <w:t>Fig. 2 Flowchart of dataset 2 of postmenopausal women</w:t>
      </w:r>
    </w:p>
    <w:p>
      <w:pPr>
        <w:jc w:val="center"/>
      </w:pPr>
      <w:r>
        <w:r>
          <w:r>
            <w:rPr>
              <w:rFonts w:ascii="Minion Pro" w:hAnsi="Minion Pro"/>
              <w:i w:val="0"/>
              <w:noProof/>
              <w:color w:val="000000"/>
              <w:sz w:val="20"/>
              <w:u w:val="none"/>
            </w:rPr>
            <w:drawing>
              <wp:inline distT="0" distB="0" distL="0" distR="0" wp14:anchorId="3447734B" wp14:editId="341EE61A">
                <wp:extent cx="2570008" cy="2836421"/>
                <wp:effectExtent l="19050" t="0" r="5411" b="0"/>
                <wp:docPr id="31" name="Picture 22" descr="p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PNG"/>
                        <pic:cNvPicPr/>
                      </pic:nvPicPr>
                      <pic:blipFill>
                        <a:blip r:embed="rId17"/>
                        <a:stretch>
                          <a:fillRect/>
                        </a:stretch>
                      </pic:blipFill>
                      <pic:spPr>
                        <a:xfrm>
                          <a:off x="0" y="0"/>
                          <a:ext cx="3019377" cy="3332374"/>
                        </a:xfrm>
                        <a:prstGeom prst="rect">
                          <a:avLst/>
                        </a:prstGeom>
                      </pic:spPr>
                    </pic:pic>
                  </a:graphicData>
                </a:graphic>
              </wp:inline>
            </w:drawing>
          </w:r>
        </w:r>
      </w:r>
    </w:p>
    <w:p w14:paraId="78E34EA2" w14:textId="77777777" w:rsidR="00045D39" w:rsidRDefault="00045D39" w:rsidP="00045D39">
      <w:pPr>
        <w:pStyle w:val="Heading2"/>
        <w:keepNext w:val="0"/>
        <w:keepLines w:val="0"/>
        <w:widowControl w:val="0"/>
        <w:spacing w:before="0" w:after="0"/>
        <w:ind w:left="0" w:right="0" w:firstLine="0"/>
        <w:jc w:val="left"/>
      </w:pPr>
      <w:r>
        <w:rPr>
          <w:rFonts w:ascii="Minion Pro" w:hAnsi="Minion Pro"/>
          <w:b/>
          <w:i/>
          <w:color w:val="000000"/>
          <w:sz w:val="22"/>
          <w:u w:val="none"/>
        </w:rPr>
      </w:r>
      <w:r w:rsidRPr="00AC5734">
        <w:rPr>
          <w:rFonts w:ascii="Minion Pro" w:hAnsi="Minion Pro"/>
          <w:b/>
          <w:i/>
          <w:color w:val="000000"/>
          <w:sz w:val="22"/>
          <w:u w:val="none"/>
        </w:rPr>
        <w:t>Dataset 3:</w:t>
      </w:r>
    </w:p>
    <w:p w14:paraId="434C8767" w14:textId="77777777" w:rsidR="00045D39" w:rsidRPr="004C6F21" w:rsidRDefault="00045D39" w:rsidP="00045D39">
      <w:pPr>
        <w:keepNext w:val="0"/>
        <w:keepLines w:val="0"/>
        <w:widowControl w:val="0"/>
        <w:spacing w:before="0" w:after="0"/>
        <w:ind w:left="0" w:right="0" w:firstLine="283"/>
        <w:jc w:val="both"/>
      </w:pPr>
      <w:r w:rsidRPr="004C6F21">
        <w:rPr>
          <w:rFonts w:ascii="Minion Pro" w:hAnsi="Minion Pro"/>
          <w:i w:val="0"/>
          <w:color w:val="000000"/>
          <w:sz w:val="20"/>
          <w:u w:val="none"/>
        </w:rPr>
        <w:t>From January 1, 2012, through December 31, 2021, a diagnostic investigation was conducted in a cohort of pregnant Chinese women</w:t>
      </w:r>
      <w:r w:rsidR="00F71DDC" w:rsidRPr="004C6F21">
        <w:rPr>
          <w:rFonts w:ascii="Minion Pro" w:hAnsi="Minion Pro"/>
          <w:i w:val="0"/>
          <w:color w:val="000000"/>
          <w:sz w:val="20"/>
          <w:u w:val="none"/>
        </w:rPr>
        <w:fldChar w:fldCharType="begin" w:fldLock="1"/>
      </w:r>
      <w:r w:rsidRPr="004C6F21">
        <w:rPr>
          <w:rFonts w:ascii="Minion Pro" w:hAnsi="Minion Pro"/>
          <w:i w:val="0"/>
          <w:color w:val="000000"/>
          <w:sz w:val="20"/>
          <w:u w:val="none"/>
        </w:rPr>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4C6F21">
        <w:rPr>
          <w:rFonts w:ascii="Minion Pro" w:hAnsi="Minion Pro"/>
          <w:i w:val="0"/>
          <w:color w:val="000000"/>
          <w:sz w:val="20"/>
          <w:u w:val="none"/>
        </w:rPr>
        <w:fldChar w:fldCharType="separate"/>
      </w:r>
      <w:r w:rsidRPr="004C6F21">
        <w:rPr>
          <w:rFonts w:ascii="Minion Pro" w:hAnsi="Minion Pro"/>
          <w:i w:val="0"/>
          <w:noProof/>
          <w:color w:val="000000"/>
          <w:sz w:val="20"/>
          <w:u w:val="none"/>
        </w:rPr>
        <w:t>[23]</w:t>
      </w:r>
      <w:r w:rsidR="00F71DDC" w:rsidRPr="004C6F21">
        <w:rPr>
          <w:rFonts w:ascii="Minion Pro" w:hAnsi="Minion Pro"/>
          <w:i w:val="0"/>
          <w:color w:val="000000"/>
          <w:sz w:val="20"/>
          <w:u w:val="none"/>
        </w:rPr>
        <w:fldChar w:fldCharType="end"/>
      </w:r>
      <w:r w:rsidRPr="004C6F21">
        <w:rPr>
          <w:rFonts w:ascii="Minion Pro" w:hAnsi="Minion Pro"/>
          <w:i w:val="0"/>
          <w:color w:val="000000"/>
          <w:sz w:val="20"/>
          <w:u w:val="none"/>
        </w:rPr>
        <w:t>. 2560 participants who had twin or triplet pregnancies and 3159 that had missing data from any relevant characteristics were eliminated. Finally, 10802 women and their infants were taken into account in the analysis.</w:t>
      </w:r>
    </w:p>
    <w:p w14:paraId="69F35035"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0"/>
          <w:u w:val="none"/>
        </w:rPr>
        <w:t>Before enrolment, every participant provided written informed consent, and the information gathered from them was de-identified. Early in pregnancy, participants were recruited, and they were followed up with clinical information at each visit until one month following delivery. The following features were observed: demographic information and previous pregnancies: age at pregnancy, ethnicity pre-pregnancy body mass index (BMI), parity, and uterine scarring;</w:t>
      </w:r>
      <w:r w:rsidRPr="004C6F21">
        <w:rPr>
          <w:rFonts w:ascii="Minion Pro" w:hAnsi="Minion Pro"/>
          <w:i w:val="0"/>
          <w:color w:val="000000"/>
          <w:sz w:val="20"/>
          <w:u w:val="none"/>
        </w:rPr>
        <w:t>nutritional conditions during pregnancy anemia, deficiencies of folic acid, iron, calcium, and vitamin D complications and comorbidities such as placenta Previa, placental abruption, gestational diabetes, and gestational hyper Age at</w:t>
      </w:r>
      <w:r w:rsidR="00433BC8">
        <w:rPr>
          <w:rFonts w:ascii="Minion Pro" w:hAnsi="Minion Pro"/>
          <w:i w:val="0"/>
          <w:color w:val="000000"/>
          <w:sz w:val="20"/>
          <w:u w:val="none"/>
        </w:rPr>
        <w:t>conception, pre-pregnancy BMI</w:t>
      </w:r>
      <w:r w:rsidRPr="004C6F21">
        <w:rPr>
          <w:rFonts w:ascii="Minion Pro" w:hAnsi="Minion Pro"/>
          <w:i w:val="0"/>
          <w:color w:val="000000"/>
          <w:sz w:val="20"/>
          <w:u w:val="none"/>
        </w:rPr>
        <w:t>, and neonatal birth weight were among the continuous independent variables that were transformed into categorical variables to lessen the impact of extreme values.</w:t>
      </w:r>
    </w:p>
    <w:p w14:paraId="365900A2"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0"/>
          <w:u w:val="none"/>
        </w:rPr>
        <w:t>To choose key factors, a logistic regression analysis was first conducted to improve the computing efficiency of the ANN model. Then, using the precedent procedure, the potentially predictive factors were included in a multivariable model. Odds ratios (ORs) and 95% confidence intervals were used to determine the relationship between each component and the risk of MBD. To develop the ANN model, variables with statistical significance were reserved.</w:t>
      </w:r>
    </w:p>
    <w:p w14:paraId="0F7A189A" w14:textId="77777777" w:rsidR="00045D39" w:rsidRPr="00CB69F8" w:rsidRDefault="00045D39" w:rsidP="00045D39">
      <w:pPr>
        <w:pStyle w:val="Heading1"/>
        <w:keepNext w:val="0"/>
        <w:keepLines w:val="0"/>
        <w:widowControl w:val="0"/>
        <w:numPr>
          <w:ilvl w:val="0"/>
          <w:numId w:val="28"/>
        </w:numPr>
        <w:spacing w:before="0" w:after="0"/>
        <w:ind w:left="0" w:right="0" w:firstLine="0"/>
        <w:jc w:val="left"/>
        <w:rPr>
          <w:b/>
        </w:rPr>
      </w:pPr>
      <w:r w:rsidRPr="00CB69F8">
        <w:rPr>
          <w:rFonts w:ascii="Minion Pro" w:hAnsi="Minion Pro"/>
          <w:b/>
          <w:i w:val="0"/>
          <w:color w:val="000000"/>
          <w:sz w:val="22"/>
          <w:u w:val="none"/>
        </w:rPr>
        <w:t>Proposed Methodology:</w:t>
      </w:r>
    </w:p>
    <w:p w14:paraId="5A0E85F0" w14:textId="77777777" w:rsidR="00045D39" w:rsidRPr="00CB69F8" w:rsidRDefault="00045D39" w:rsidP="00045D39">
      <w:pPr>
        <w:keepNext w:val="0"/>
        <w:keepLines w:val="0"/>
        <w:widowControl w:val="0"/>
        <w:spacing w:before="0" w:after="0"/>
        <w:ind w:left="0" w:right="0" w:firstLine="283"/>
        <w:jc w:val="both"/>
      </w:pPr>
      <w:r w:rsidRPr="00CB69F8">
        <w:rPr>
          <w:rFonts w:ascii="Minion Pro" w:hAnsi="Minion Pro"/>
          <w:i w:val="0"/>
          <w:color w:val="000000"/>
          <w:sz w:val="20"/>
          <w:u w:val="none"/>
        </w:rPr>
        <w:t>For analyzing and predicting the bone disease of osteoporosis we propose machine learning techniques like K-nearest Neighbor (KNN)</w:t>
      </w:r>
      <w:r w:rsidR="00F71DDC" w:rsidRPr="00CB69F8">
        <w:rPr>
          <w:rFonts w:ascii="Minion Pro" w:hAnsi="Minion Pro"/>
          <w:i w:val="0"/>
          <w:color w:val="000000"/>
          <w:sz w:val="20"/>
          <w:u w:val="none"/>
        </w:rPr>
        <w:fldChar w:fldCharType="begin" w:fldLock="1"/>
      </w:r>
      <w:r w:rsidRPr="00CB69F8">
        <w:rPr>
          <w:rFonts w:ascii="Minion Pro" w:hAnsi="Minion Pro"/>
          <w:i w:val="0"/>
          <w:color w:val="000000"/>
          <w:sz w:val="20"/>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CB69F8">
        <w:rPr>
          <w:rFonts w:ascii="Minion Pro" w:hAnsi="Minion Pro"/>
          <w:i w:val="0"/>
          <w:color w:val="000000"/>
          <w:sz w:val="20"/>
          <w:u w:val="none"/>
        </w:rPr>
        <w:fldChar w:fldCharType="separate"/>
      </w:r>
      <w:r w:rsidRPr="00CB69F8">
        <w:rPr>
          <w:rFonts w:ascii="Minion Pro" w:hAnsi="Minion Pro"/>
          <w:i w:val="0"/>
          <w:noProof/>
          <w:color w:val="000000"/>
          <w:sz w:val="20"/>
          <w:u w:val="none"/>
        </w:rPr>
        <w:t>[7]</w:t>
      </w:r>
      <w:r w:rsidR="00F71DDC" w:rsidRPr="00CB69F8">
        <w:rPr>
          <w:rFonts w:ascii="Minion Pro" w:hAnsi="Minion Pro"/>
          <w:i w:val="0"/>
          <w:color w:val="000000"/>
          <w:sz w:val="20"/>
          <w:u w:val="none"/>
        </w:rPr>
        <w:fldChar w:fldCharType="end"/>
      </w:r>
      <w:r w:rsidRPr="00CB69F8">
        <w:rPr>
          <w:rFonts w:ascii="Minion Pro" w:hAnsi="Minion Pro"/>
          <w:i w:val="0"/>
          <w:color w:val="000000"/>
          <w:sz w:val="20"/>
          <w:u w:val="none"/>
        </w:rPr>
        <w:t>and Support Vector Machine (SVM)</w:t>
      </w:r>
      <w:r w:rsidR="00F71DDC" w:rsidRPr="00CB69F8">
        <w:rPr>
          <w:rFonts w:ascii="Minion Pro" w:hAnsi="Minion Pro"/>
          <w:i w:val="0"/>
          <w:color w:val="000000"/>
          <w:sz w:val="20"/>
          <w:u w:val="none"/>
        </w:rPr>
        <w:fldChar w:fldCharType="begin" w:fldLock="1"/>
      </w:r>
      <w:r w:rsidRPr="00CB69F8">
        <w:rPr>
          <w:rFonts w:ascii="Minion Pro" w:hAnsi="Minion Pro"/>
          <w:i w:val="0"/>
          <w:color w:val="000000"/>
          <w:sz w:val="20"/>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CB69F8">
        <w:rPr>
          <w:rFonts w:ascii="Minion Pro" w:hAnsi="Minion Pro"/>
          <w:i w:val="0"/>
          <w:color w:val="000000"/>
          <w:sz w:val="20"/>
          <w:u w:val="none"/>
        </w:rPr>
        <w:fldChar w:fldCharType="separate"/>
      </w:r>
      <w:r w:rsidRPr="00CB69F8">
        <w:rPr>
          <w:rFonts w:ascii="Minion Pro" w:hAnsi="Minion Pro"/>
          <w:i w:val="0"/>
          <w:noProof/>
          <w:color w:val="000000"/>
          <w:sz w:val="20"/>
          <w:u w:val="none"/>
        </w:rPr>
        <w:t>[7]</w:t>
      </w:r>
      <w:r w:rsidR="00F71DDC" w:rsidRPr="00CB69F8">
        <w:rPr>
          <w:rFonts w:ascii="Minion Pro" w:hAnsi="Minion Pro"/>
          <w:i w:val="0"/>
          <w:color w:val="000000"/>
          <w:sz w:val="20"/>
          <w:u w:val="none"/>
        </w:rPr>
        <w:fldChar w:fldCharType="end"/>
      </w:r>
      <w:r w:rsidRPr="00CB69F8">
        <w:rPr>
          <w:rFonts w:ascii="Minion Pro" w:hAnsi="Minion Pro"/>
          <w:i w:val="0"/>
          <w:color w:val="000000"/>
          <w:sz w:val="20"/>
          <w:u w:val="none"/>
        </w:rPr>
        <w:t>and Artificial Neural Networks (ANN)</w:t>
      </w:r>
      <w:r w:rsidR="00F71DDC" w:rsidRPr="00CB69F8">
        <w:rPr>
          <w:rFonts w:ascii="Minion Pro" w:hAnsi="Minion Pro"/>
          <w:i w:val="0"/>
          <w:color w:val="000000"/>
          <w:sz w:val="20"/>
          <w:u w:val="none"/>
        </w:rPr>
        <w:fldChar w:fldCharType="begin" w:fldLock="1"/>
      </w:r>
      <w:r w:rsidRPr="00CB69F8">
        <w:rPr>
          <w:rFonts w:ascii="Minion Pro" w:hAnsi="Minion Pro"/>
          <w:i w:val="0"/>
          <w:color w:val="000000"/>
          <w:sz w:val="20"/>
          <w:u w:val="none"/>
        </w:rPr>
        <w:instrText>ADDIN CSL_CITATION {"citationItems":[{"id":"ITEM-1","itemData":{"DOI":"10.1609/aaai.v35i13.17358","ISBN":"9781713835974","ISSN":"2159-5399","abstract":"Interpretable machine learning has gained much attention recently. Briefness and comprehensiveness are necessary in order to provide a large amount of information concisely when explaining a black-box decision system. However, existing interpretable machine learning methods fail to consider briefness and comprehensiveness simultaneously, leading to redundant explanations. We propose the variational information bottleneck for interpretation, VIBI, a system-agnostic interpretable method that provides a brief but comprehensive explanation. VIBI adopts an information theoretic principle, information bottleneck principle, as a criterion for finding such explanations. For each instance, VIBI selects key features that are maximally compressed about an input (briefness), and informative about a decision made by a black-box system on that input (comprehensive). We evaluate VIBI on three datasets and compare with state-of-the-art interpretable machine learning methods in terms of both interpretability and fidelity evaluated by human and quantitative metrics.","author":[{"dropping-particle":"","family":"Bang","given":"Seojin","non-dropping-particle":"","parse-names":false,"suffix":""},{"dropping-particle":"","family":"Xie","given":"Pengtao","non-dropping-particle":"","parse-names":false,"suffix":""},{"dropping-particle":"","family":"Lee","given":"Heewook","non-dropping-particle":"","parse-names":false,"suffix":""},{"dropping-particle":"","family":"Wu","given":"Wei","non-dropping-particle":"","parse-names":false,"suffix":""},{"dropping-particle":"","family":"Xing","given":"Eric","non-dropping-particle":"","parse-names":false,"suffix":""}],"container-title":"35th AAAI Conference on Artificial Intelligence, AAAI 2021","id":"ITEM-1","issued":{"date-parts":[["2021"]]},"page":"11396-11404","title":"Explaining A Black-box By Using A Deep Variational Information Bottleneck Approach","type":"article-journal","volume":"13A"},"uris":["http://www.mendeley.com/documents/?uuid=754281c7-4550-4472-ab0d-593c34c92a15"]}],"mendeley":{"formattedCitation":"[24]","plainTextFormattedCitation":"[24]","previouslyFormattedCitation":"[24]"},"properties":{"noteIndex":0},"schema":"https://github.com/citation-style-language/schema/raw/master/csl-citation.json"}</w:instrText>
      </w:r>
      <w:r w:rsidR="00F71DDC" w:rsidRPr="00CB69F8">
        <w:rPr>
          <w:rFonts w:ascii="Minion Pro" w:hAnsi="Minion Pro"/>
          <w:i w:val="0"/>
          <w:color w:val="000000"/>
          <w:sz w:val="20"/>
          <w:u w:val="none"/>
        </w:rPr>
        <w:fldChar w:fldCharType="separate"/>
      </w:r>
      <w:r w:rsidRPr="00CB69F8">
        <w:rPr>
          <w:rFonts w:ascii="Minion Pro" w:hAnsi="Minion Pro"/>
          <w:i w:val="0"/>
          <w:noProof/>
          <w:color w:val="000000"/>
          <w:sz w:val="20"/>
          <w:u w:val="none"/>
        </w:rPr>
        <w:t>[24]</w:t>
      </w:r>
      <w:r w:rsidR="00F71DDC" w:rsidRPr="00CB69F8">
        <w:rPr>
          <w:rFonts w:ascii="Minion Pro" w:hAnsi="Minion Pro"/>
          <w:i w:val="0"/>
          <w:color w:val="000000"/>
          <w:sz w:val="20"/>
          <w:u w:val="none"/>
        </w:rPr>
        <w:fldChar w:fldCharType="end"/>
      </w:r>
      <w:r w:rsidR="00F71DDC" w:rsidRPr="00CB69F8">
        <w:rPr>
          <w:rFonts w:ascii="Minion Pro" w:hAnsi="Minion Pro"/>
          <w:i w:val="0"/>
          <w:color w:val="000000"/>
          <w:sz w:val="20"/>
          <w:u w:val="none"/>
        </w:rPr>
        <w:fldChar w:fldCharType="begin" w:fldLock="1"/>
      </w:r>
      <w:r w:rsidRPr="00CB69F8">
        <w:rPr>
          <w:rFonts w:ascii="Minion Pro" w:hAnsi="Minion Pro"/>
          <w:i w:val="0"/>
          <w:color w:val="000000"/>
          <w:sz w:val="20"/>
          <w:u w:val="none"/>
        </w:rPr>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CB69F8">
        <w:rPr>
          <w:rFonts w:ascii="Minion Pro" w:hAnsi="Minion Pro"/>
          <w:i w:val="0"/>
          <w:color w:val="000000"/>
          <w:sz w:val="20"/>
          <w:u w:val="none"/>
        </w:rPr>
        <w:fldChar w:fldCharType="separate"/>
      </w:r>
      <w:r w:rsidRPr="00CB69F8">
        <w:rPr>
          <w:rFonts w:ascii="Minion Pro" w:hAnsi="Minion Pro"/>
          <w:i w:val="0"/>
          <w:noProof/>
          <w:color w:val="000000"/>
          <w:sz w:val="20"/>
          <w:u w:val="none"/>
        </w:rPr>
        <w:t>[23]</w:t>
      </w:r>
      <w:r w:rsidR="00F71DDC" w:rsidRPr="00CB69F8">
        <w:rPr>
          <w:rFonts w:ascii="Minion Pro" w:hAnsi="Minion Pro"/>
          <w:i w:val="0"/>
          <w:color w:val="000000"/>
          <w:sz w:val="20"/>
          <w:u w:val="none"/>
        </w:rPr>
        <w:fldChar w:fldCharType="end"/>
      </w:r>
      <w:r w:rsidRPr="00CB69F8">
        <w:rPr>
          <w:rFonts w:ascii="Minion Pro" w:hAnsi="Minion Pro"/>
          <w:i w:val="0"/>
          <w:color w:val="000000"/>
          <w:sz w:val="20"/>
          <w:u w:val="none"/>
        </w:rPr>
        <w:t>as well as various models of ANN. In this diagnostic study, five ANN models, KNN and SVM are presented with different datasets from multiple countries, were presented to provide early predictions about newborns at risk for MBD utilizing various exposure factors collected during the prenatal and/or postnatal periods. Models 1 (important prenatal and postnatal factors) and 5 (postnatal factors) performed best. The basic purpose of this study is to formulate a way to predict the existing or potential occurrence of osteoporosis but according to surveys in these data sets the expansion rate was low, 10.4% in women and 3.8 % in men respectively.</w:t>
      </w:r>
    </w:p>
    <w:p w14:paraId="7A3538A7" w14:textId="77777777" w:rsidR="00045D39" w:rsidRDefault="00045D39" w:rsidP="00045D39">
      <w:pPr>
        <w:keepNext w:val="0"/>
        <w:keepLines w:val="0"/>
        <w:widowControl w:val="0"/>
        <w:spacing w:before="0" w:after="0"/>
        <w:ind w:left="0" w:right="0" w:firstLine="0"/>
        <w:jc w:val="both"/>
      </w:pPr>
      <w:r w:rsidRPr="00CB69F8">
        <w:rPr>
          <w:rFonts w:ascii="Minion Pro" w:hAnsi="Minion Pro"/>
          <w:i w:val="0"/>
          <w:color w:val="000000"/>
          <w:sz w:val="20"/>
          <w:u w:val="none"/>
        </w:rPr>
        <w:t>This high difference in ratios can cause problems in the training of the machine learning models. The training of the model with the prediction values of BMD difference in Osteopenia and Osteoporotic persons can be presented by 1 and 0 respectively; they can also be used to overcome the problem of outliers. Data for patients is divided into training and testing datasets. The training data sets are rescaled for the SVM, ANN, and KNN models separately while testing sets are also rescaled with the help of the training data set index.</w:t>
      </w:r>
      <w:r>
        <w:rPr>
          <w:rFonts w:ascii="Minion Pro" w:hAnsi="Minion Pro"/>
          <w:i w:val="0"/>
          <w:color w:val="000000"/>
          <w:sz w:val="20"/>
          <w:u w:val="none"/>
        </w:rPr>
        <w:t>Fig 3 represents the conceptual framework of the proposed methodology.</w:t>
      </w:r>
    </w:p>
    <w:p w14:paraId="66CB5128" w14:textId="77777777" w:rsidR="00045D39" w:rsidRPr="00014DF9" w:rsidRDefault="00045D39" w:rsidP="00045D39">
      <w:pPr>
        <w:pStyle w:val="Heading2"/>
        <w:keepNext w:val="0"/>
        <w:keepLines w:val="0"/>
        <w:widowControl w:val="0"/>
        <w:numPr>
          <w:ilvl w:val="0"/>
          <w:numId w:val="0"/>
        </w:numPr>
        <w:spacing w:after="0" w:before="0"/>
        <w:ind w:left="0" w:right="0" w:firstLine="0"/>
        <w:jc w:val="left"/>
        <w:rPr>
          <w:b/>
          <w:i w:val="0"/>
          <w:sz w:val="16"/>
          <w:szCs w:val="16"/>
        </w:rPr>
      </w:pPr>
      <w:r>
        <w:rPr>
          <w:rFonts w:ascii="Minion Pro" w:hAnsi="Minion Pro"/>
          <w:b/>
          <w:i/>
          <w:color w:val="000000"/>
          <w:sz w:val="22"/>
          <w:u w:val="none"/>
        </w:rPr>
        <w:lastRenderedPageBreak/>
        <w:tab/>
      </w:r>
      <w:r w:rsidRPr="000A5E68">
        <w:rPr>
          <w:rFonts w:ascii="Minion Pro" w:hAnsi="Minion Pro"/>
          <w:b/>
          <w:i/>
          <w:color w:val="000000"/>
          <w:sz w:val="22"/>
          <w:szCs w:val="16"/>
          <w:u w:val="none"/>
        </w:rPr>
        <w:t xml:space="preserve"> </w:t>
      </w:r>
      <w:r w:rsidRPr="00014DF9">
        <w:rPr>
          <w:rFonts w:ascii="Minion Pro" w:hAnsi="Minion Pro"/>
          <w:b/>
          <w:i/>
          <w:color w:val="000000"/>
          <w:sz w:val="22"/>
          <w:szCs w:val="16"/>
          <w:u w:val="none"/>
        </w:rPr>
        <w:t>Fig.</w:t>
      </w:r>
      <w:r>
        <w:rPr>
          <w:rFonts w:ascii="Minion Pro" w:hAnsi="Minion Pro"/>
          <w:b/>
          <w:i/>
          <w:color w:val="000000"/>
          <w:sz w:val="22"/>
          <w:szCs w:val="16"/>
          <w:u w:val="none"/>
        </w:rPr>
        <w:t>3</w:t>
      </w:r>
      <w:r w:rsidRPr="00014DF9">
        <w:rPr>
          <w:rFonts w:ascii="Minion Pro" w:hAnsi="Minion Pro"/>
          <w:b/>
          <w:i/>
          <w:color w:val="000000"/>
          <w:sz w:val="22"/>
          <w:szCs w:val="16"/>
          <w:u w:val="none"/>
        </w:rPr>
        <w:t xml:space="preserve"> Conceptual Flowchart of the Proposed Methodology</w:t>
      </w:r>
    </w:p>
    <w:p>
      <w:pPr>
        <w:jc w:val="center"/>
      </w:pPr>
      <w:r>
        <w:r>
          <w:r w:rsidRPr="004B2C37">
            <w:rPr>
              <w:rFonts w:ascii="Minion Pro" w:hAnsi="Minion Pro"/>
              <w:b/>
              <w:i/>
              <w:color w:val="000000"/>
              <w:sz w:val="22"/>
              <w:u w:val="none"/>
            </w:rPr>
            <w:drawing>
              <wp:inline distT="0" distB="0" distL="0" distR="0" wp14:anchorId="206E55D4" wp14:editId="43DF6C73">
                <wp:extent cx="2199736" cy="2874321"/>
                <wp:effectExtent l="19050" t="0" r="2875" b="0"/>
                <wp:docPr id="32" name="Picture 10" descr="pi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c.PNG"/>
                        <pic:cNvPicPr/>
                      </pic:nvPicPr>
                      <pic:blipFill>
                        <a:blip r:embed="rId18"/>
                        <a:stretch>
                          <a:fillRect/>
                        </a:stretch>
                      </pic:blipFill>
                      <pic:spPr>
                        <a:xfrm>
                          <a:off x="0" y="0"/>
                          <a:ext cx="2590818" cy="3385335"/>
                        </a:xfrm>
                        <a:prstGeom prst="rect">
                          <a:avLst/>
                        </a:prstGeom>
                      </pic:spPr>
                    </pic:pic>
                  </a:graphicData>
                </a:graphic>
              </wp:inline>
            </w:drawing>
          </w:r>
        </w:r>
      </w:r>
    </w:p>
    <w:p w14:paraId="20F55A5A" w14:textId="77777777" w:rsidR="00045D39" w:rsidRPr="000A5E68" w:rsidRDefault="00045D39" w:rsidP="00045D39">
      <w:pPr>
        <w:pStyle w:val="Heading2"/>
        <w:keepNext w:val="0"/>
        <w:keepLines w:val="0"/>
        <w:widowControl w:val="0"/>
        <w:numPr>
          <w:ilvl w:val="0"/>
          <w:numId w:val="29"/>
        </w:numPr>
        <w:spacing w:before="0" w:after="0"/>
        <w:ind w:left="0" w:right="0" w:firstLine="0"/>
        <w:jc w:val="left"/>
      </w:pPr>
      <w:r w:rsidRPr="000A5E68">
        <w:rPr>
          <w:rFonts w:ascii="Minion Pro" w:hAnsi="Minion Pro"/>
          <w:b/>
          <w:i/>
          <w:color w:val="000000"/>
          <w:sz w:val="22"/>
          <w:u w:val="none"/>
        </w:rPr>
        <w:t>Selected Classifiers:</w:t>
      </w:r>
    </w:p>
    <w:p w14:paraId="7F97FAF8" w14:textId="77777777" w:rsidR="00045D39" w:rsidRPr="000A5E68" w:rsidRDefault="00045D39" w:rsidP="00045D39">
      <w:pPr>
        <w:keepNext w:val="0"/>
        <w:keepLines w:val="0"/>
        <w:widowControl w:val="0"/>
        <w:spacing w:before="0" w:after="0"/>
        <w:ind w:left="0" w:right="0" w:firstLine="283"/>
        <w:jc w:val="both"/>
      </w:pPr>
      <w:r w:rsidRPr="000A5E68">
        <w:rPr>
          <w:rFonts w:ascii="Minion Pro" w:hAnsi="Minion Pro"/>
          <w:i w:val="0"/>
          <w:color w:val="000000"/>
          <w:sz w:val="20"/>
          <w:u w:val="none"/>
        </w:rPr>
        <w:t>The machine learning algorithms used in the study were KNN, SVM, and ANN models developed with</w:t>
      </w:r>
      <w:proofErr w:type="spellStart"/>
      <w:r w:rsidRPr="000A5E68">
        <w:rPr>
          <w:rFonts w:ascii="Minion Pro" w:hAnsi="Minion Pro"/>
          <w:i w:val="0"/>
          <w:color w:val="000000"/>
          <w:sz w:val="20"/>
          <w:u w:val="none"/>
        </w:rPr>
        <w:t>Tensorflow</w:t>
      </w:r>
      <w:proofErr w:type="spellEnd"/>
      <w:r w:rsidRPr="000A5E68">
        <w:rPr>
          <w:rFonts w:ascii="Minion Pro" w:hAnsi="Minion Pro"/>
          <w:i w:val="0"/>
          <w:color w:val="000000"/>
          <w:sz w:val="20"/>
          <w:u w:val="none"/>
        </w:rPr>
        <w:t>while SVM and KNN are developed with Scikit-learn with the help of Python. For best prediction, a better estimate of the expansion ratio, and a reduction of outliers we will train both men's and women's inputs separately. When training the datasets we will take some trained sets for analyzing the performance of the models like SVM, ANN</w:t>
      </w:r>
      <w:r w:rsidR="00F71DDC" w:rsidRPr="000A5E68">
        <w:rPr>
          <w:rFonts w:ascii="Minion Pro" w:hAnsi="Minion Pro"/>
          <w:i w:val="0"/>
          <w:color w:val="000000"/>
          <w:sz w:val="20"/>
          <w:u w:val="none"/>
        </w:rPr>
        <w:fldChar w:fldCharType="begin" w:fldLock="1"/>
      </w:r>
      <w:r w:rsidRPr="000A5E68">
        <w:rPr>
          <w:rFonts w:ascii="Minion Pro" w:hAnsi="Minion Pro"/>
          <w:i w:val="0"/>
          <w:color w:val="000000"/>
          <w:sz w:val="20"/>
          <w:u w:val="none"/>
        </w:rPr>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0A5E68">
        <w:rPr>
          <w:rFonts w:ascii="Minion Pro" w:hAnsi="Minion Pro"/>
          <w:i w:val="0"/>
          <w:color w:val="000000"/>
          <w:sz w:val="20"/>
          <w:u w:val="none"/>
        </w:rPr>
        <w:fldChar w:fldCharType="separate"/>
      </w:r>
      <w:r w:rsidRPr="000A5E68">
        <w:rPr>
          <w:rFonts w:ascii="Minion Pro" w:hAnsi="Minion Pro"/>
          <w:i w:val="0"/>
          <w:noProof/>
          <w:color w:val="000000"/>
          <w:sz w:val="20"/>
          <w:u w:val="none"/>
        </w:rPr>
        <w:t>[23]</w:t>
      </w:r>
      <w:r w:rsidR="00F71DDC" w:rsidRPr="000A5E68">
        <w:rPr>
          <w:rFonts w:ascii="Minion Pro" w:hAnsi="Minion Pro"/>
          <w:i w:val="0"/>
          <w:color w:val="000000"/>
          <w:sz w:val="20"/>
          <w:u w:val="none"/>
        </w:rPr>
        <w:fldChar w:fldCharType="end"/>
      </w:r>
      <w:r w:rsidRPr="000A5E68">
        <w:rPr>
          <w:rFonts w:ascii="Minion Pro" w:hAnsi="Minion Pro"/>
          <w:i w:val="0"/>
          <w:color w:val="000000"/>
          <w:sz w:val="20"/>
          <w:u w:val="none"/>
        </w:rPr>
        <w:t>, and KNN in real-time. On the other side, to reduce the complexity and difficulty of the models, we put a restriction on the number of iterations. For the ANN model, different parameters were tested like hyperparameters, different combinations of hidden layers, the number of nodes at each hidden layer the learning rate, and the dropout termination or rate. Different searches for all models of ML are done to analyze the best prediction model.</w:t>
      </w:r>
    </w:p>
    <w:p w14:paraId="0483F8DA" w14:textId="77777777" w:rsidR="00045D39" w:rsidRPr="000A5E68" w:rsidRDefault="00045D39" w:rsidP="00045D39">
      <w:pPr>
        <w:pStyle w:val="Heading1"/>
        <w:keepNext w:val="0"/>
        <w:keepLines w:val="0"/>
        <w:widowControl w:val="0"/>
        <w:numPr>
          <w:ilvl w:val="0"/>
          <w:numId w:val="28"/>
        </w:numPr>
        <w:tabs>
          <w:tab w:val="clear" w:pos="216"/>
        </w:tabs>
        <w:spacing w:before="0" w:after="0"/>
        <w:ind w:left="0" w:right="0" w:firstLine="0"/>
        <w:contextualSpacing/>
        <w:jc w:val="left"/>
        <w:rPr>
          <w:b/>
        </w:rPr>
      </w:pPr>
      <w:r w:rsidRPr="000A5E68">
        <w:rPr>
          <w:rFonts w:ascii="Minion Pro" w:hAnsi="Minion Pro"/>
          <w:b/>
          <w:i w:val="0"/>
          <w:color w:val="000000"/>
          <w:sz w:val="22"/>
          <w:u w:val="none"/>
        </w:rPr>
        <w:t>Model Evaluation</w:t>
      </w:r>
    </w:p>
    <w:p w14:paraId="55EE874E" w14:textId="77777777" w:rsidR="00045D39" w:rsidRDefault="00045D39" w:rsidP="00045D39">
      <w:pPr>
        <w:keepNext w:val="0"/>
        <w:keepLines w:val="0"/>
        <w:widowControl w:val="0"/>
        <w:autoSpaceDE w:val="0"/>
        <w:autoSpaceDN w:val="0"/>
        <w:adjustRightInd w:val="0"/>
        <w:spacing w:before="0" w:after="0"/>
        <w:ind w:left="0" w:right="0" w:firstLine="283"/>
        <w:jc w:val="both"/>
      </w:pPr>
      <w:r w:rsidRPr="000A5E68">
        <w:rPr>
          <w:rFonts w:ascii="Minion Pro" w:hAnsi="Minion Pro"/>
          <w:i w:val="0"/>
          <w:color w:val="000000"/>
          <w:sz w:val="20"/>
          <w:u w:val="none"/>
        </w:rPr>
        <w:t>For the selection of input features, the normal and the affected BDM’s were compared. Some of the features hold the most importance due to their nature like HRT, Parity, and gynecological history for analyzing women’s bone density while some features are not as important as others. Three machine learning models (KNN, ANN (Multiple ANN models), and SVM) and the existing OSTA model which is a self-assessment tool for osteoporosis are compared according to their outcomes but the results showed the efficiency of the</w:t>
      </w:r>
      <w:r w:rsidRPr="000A5E68">
        <w:rPr>
          <w:rFonts w:ascii="Minion Pro" w:hAnsi="Minion Pro"/>
          <w:i w:val="0"/>
          <w:color w:val="000000"/>
          <w:sz w:val="20"/>
          <w:u w:val="none"/>
        </w:rPr>
        <w:t>proposed model. The specificity, sensitivity, and AUROC are observed and calculated with the termination value but the prediction by ML models was much better than the OSTA model. There were also some terminations points added in the models to make the algorithms work more efficiently and these models provided 75% to 92% sensitive and 61% to 70% specific results for women expecting to have osteoporosis in the future.</w:t>
      </w:r>
    </w:p>
    <w:p w14:paraId="3AC99972" w14:textId="77777777" w:rsidR="00045D39" w:rsidRPr="00516F03" w:rsidRDefault="00045D39" w:rsidP="00045D39">
      <w:pPr>
        <w:pStyle w:val="Heading1"/>
        <w:keepNext w:val="0"/>
        <w:keepLines w:val="0"/>
        <w:widowControl w:val="0"/>
        <w:numPr>
          <w:ilvl w:val="0"/>
          <w:numId w:val="28"/>
        </w:numPr>
        <w:tabs>
          <w:tab w:val="clear" w:pos="216"/>
        </w:tabs>
        <w:spacing w:before="0" w:after="0"/>
        <w:ind w:left="0" w:right="0" w:firstLine="0"/>
        <w:contextualSpacing/>
        <w:jc w:val="left"/>
        <w:rPr>
          <w:b/>
        </w:rPr>
      </w:pPr>
      <w:r w:rsidRPr="00516F03">
        <w:rPr>
          <w:rFonts w:ascii="Minion Pro" w:hAnsi="Minion Pro"/>
          <w:b/>
          <w:i w:val="0"/>
          <w:color w:val="000000"/>
          <w:sz w:val="22"/>
          <w:u w:val="none"/>
        </w:rPr>
        <w:t>Results and Discussions</w:t>
      </w:r>
    </w:p>
    <w:p w14:paraId="631089A5" w14:textId="77777777" w:rsidR="00045D39" w:rsidRPr="000A5E68" w:rsidRDefault="00045D39" w:rsidP="00045D39">
      <w:pPr>
        <w:keepNext w:val="0"/>
        <w:keepLines w:val="0"/>
        <w:widowControl w:val="0"/>
        <w:spacing w:before="0" w:after="0"/>
        <w:ind w:left="0" w:right="0" w:firstLine="283"/>
        <w:jc w:val="both"/>
      </w:pPr>
      <w:r w:rsidRPr="000A5E68">
        <w:rPr>
          <w:rFonts w:ascii="Minion Pro" w:hAnsi="Minion Pro"/>
          <w:i w:val="0"/>
          <w:color w:val="000000"/>
          <w:sz w:val="20"/>
          <w:u w:val="none"/>
        </w:rPr>
        <w:t>After performing tests and applying ML models to the datasets, we get to know that of all the participants of the study 49% of women with an age ratio of more or less than 59.3 years old. The results of the Dual-energy X-ray showed that, from the testing datasets of 580, a 10.4% ratio of women having Osteoporosis while 46.8% are having Osteopenia.</w:t>
      </w:r>
    </w:p>
    <w:p w14:paraId="0C7D79FA" w14:textId="77777777" w:rsidR="00045D39" w:rsidRPr="000A5E68" w:rsidRDefault="00045D39" w:rsidP="00045D39">
      <w:pPr>
        <w:keepNext w:val="0"/>
        <w:keepLines w:val="0"/>
        <w:widowControl w:val="0"/>
        <w:autoSpaceDE w:val="0"/>
        <w:autoSpaceDN w:val="0"/>
        <w:adjustRightInd w:val="0"/>
        <w:spacing w:before="0" w:after="0"/>
        <w:ind w:left="0" w:right="0" w:firstLine="0"/>
        <w:jc w:val="both"/>
      </w:pPr>
      <w:r w:rsidRPr="000A5E68">
        <w:rPr>
          <w:rFonts w:ascii="Minion Pro" w:hAnsi="Minion Pro"/>
          <w:i w:val="0"/>
          <w:color w:val="000000"/>
          <w:sz w:val="20"/>
          <w:u w:val="none"/>
        </w:rPr>
        <w:t>In this paper, three machine learning algorithms are proposed and applied to data sets to generate more reliable and clear results as compared to the existing models like the OSTA model. These machine learning algorithms are specifically used to perform screening on medical history of patients</w:t>
      </w:r>
      <w:r w:rsidR="00F71DDC" w:rsidRPr="000A5E68">
        <w:rPr>
          <w:rFonts w:ascii="Minion Pro" w:hAnsi="Minion Pro"/>
          <w:i w:val="0"/>
          <w:color w:val="000000"/>
          <w:sz w:val="20"/>
          <w:u w:val="none"/>
        </w:rPr>
        <w:fldChar w:fldCharType="begin" w:fldLock="1"/>
      </w:r>
      <w:r w:rsidRPr="000A5E68">
        <w:rPr>
          <w:rFonts w:ascii="Minion Pro" w:hAnsi="Minion Pro"/>
          <w:i w:val="0"/>
          <w:color w:val="000000"/>
          <w:sz w:val="20"/>
          <w:u w:val="none"/>
        </w:rPr>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0A5E68">
        <w:rPr>
          <w:rFonts w:ascii="Minion Pro" w:hAnsi="Minion Pro"/>
          <w:i w:val="0"/>
          <w:color w:val="000000"/>
          <w:sz w:val="20"/>
          <w:u w:val="none"/>
        </w:rPr>
        <w:fldChar w:fldCharType="separate"/>
      </w:r>
      <w:r w:rsidRPr="000A5E68">
        <w:rPr>
          <w:rFonts w:ascii="Minion Pro" w:hAnsi="Minion Pro"/>
          <w:i w:val="0"/>
          <w:noProof/>
          <w:color w:val="000000"/>
          <w:sz w:val="20"/>
          <w:u w:val="none"/>
        </w:rPr>
        <w:t>[10]</w:t>
      </w:r>
      <w:r w:rsidR="00F71DDC" w:rsidRPr="000A5E68">
        <w:rPr>
          <w:rFonts w:ascii="Minion Pro" w:hAnsi="Minion Pro"/>
          <w:i w:val="0"/>
          <w:color w:val="000000"/>
          <w:sz w:val="20"/>
          <w:u w:val="none"/>
        </w:rPr>
        <w:fldChar w:fldCharType="end"/>
      </w:r>
      <w:r w:rsidRPr="000A5E68">
        <w:rPr>
          <w:rFonts w:ascii="Minion Pro" w:hAnsi="Minion Pro"/>
          <w:i w:val="0"/>
          <w:color w:val="000000"/>
          <w:sz w:val="20"/>
          <w:u w:val="none"/>
        </w:rPr>
        <w:t>to predict the occurrence of osteoporosis in people more than 50 years old. There were also some terminations points added in the models to make the algorithms work more efficiently and these models provided 75% to 92% sensitive and 61% to 70% specific results for women expecting to have osteoporosis in the future. The ANN, SVM, and KNN models performed very accurately for the prediction of osteoporosis as compared to the existing and trusted OSTA model.</w:t>
      </w:r>
    </w:p>
    <w:p w14:paraId="44BD2909" w14:textId="77777777" w:rsidR="00045D39" w:rsidRPr="000A5E68" w:rsidRDefault="00045D39" w:rsidP="00045D39">
      <w:pPr>
        <w:keepNext w:val="0"/>
        <w:keepLines w:val="0"/>
        <w:widowControl w:val="0"/>
        <w:spacing w:before="0" w:after="0"/>
        <w:ind w:left="0" w:right="0" w:firstLine="0"/>
        <w:jc w:val="both"/>
      </w:pPr>
      <w:r w:rsidRPr="000A5E68">
        <w:rPr>
          <w:rFonts w:ascii="Minion Pro" w:hAnsi="Minion Pro"/>
          <w:i w:val="0"/>
          <w:color w:val="000000"/>
          <w:sz w:val="20"/>
          <w:u w:val="none"/>
        </w:rPr>
        <w:t>Early models for the prediction purposes of bone diseases in women used the ML technique SVM using the features of the menopausal phase, breastfeeding period, height, weight, age of the person, estrogen level, hypertension, and diabetes mellitus as input characteristics. The study</w:t>
      </w:r>
      <w:r w:rsidR="00F71DDC" w:rsidRPr="000A5E68">
        <w:rPr>
          <w:rFonts w:ascii="Minion Pro" w:hAnsi="Minion Pro"/>
          <w:i w:val="0"/>
          <w:color w:val="000000"/>
          <w:sz w:val="20"/>
          <w:u w:val="none"/>
        </w:rPr>
        <w:fldChar w:fldCharType="begin" w:fldLock="1"/>
      </w:r>
      <w:r w:rsidRPr="000A5E68">
        <w:rPr>
          <w:rFonts w:ascii="Minion Pro" w:hAnsi="Minion Pro"/>
          <w:i w:val="0"/>
          <w:color w:val="000000"/>
          <w:sz w:val="20"/>
          <w:u w:val="none"/>
        </w:rPr>
        <w:instrText>ADDIN CSL_CITATION {"citationItems":[{"id":"ITEM-1","itemData":{"DOI":"10.1007/s00431-023-04839-y","ISSN":"14321076","abstract":"Very low birth weight (VLBW) neonates present a high risk of metabolic bone disease (MBD). Our main objective was to determine the easiest way to make an early diagnosis of this disease by identifying surrogate biomarkers before any radiological signs occurred. We conducted in our NICU a 6-month observational prospective study, with inclusion of all singleton VLBW neonates. We collected clinical and biological data, and nutritional intakes during hospitalization. We defined biological MBD (bMBD) as alkaline phosphatase (ALP) levels superior to 600 UI/L at day of life 30 (DOL30) and performed a case–control analysis. Nine out of 30 patients (30%) exhibited bMBD. All have extremely low birth weight and were significantly younger in gestational age (GA) and smaller at birth. There was no statistically significant difference in nutritional intake between bMBD and control groups. In the bMBD group, phosphatemia was lower since DOL3. ALP was already significantly higher at DOL15, and way beyond normal range. Conclusions: Our results showed that even the strict respect of nutritional guidelines cannot completely prevent bMBD in high-risk patients and suggest that an early screening from DOL15, with ALP levels greater than 500 UI/L, could be sufficient for detection of upcoming MBD.What is Known:• Metabolic bone disease of prematurity (MBD) definition is not consensual, but biological changes appear earlier than radiological signs of rickets.• MBD management relies on biological evidence. Treatment is based on phosphate and/or calcium and calcitriol supplementation.What is New:• Studying phosphocalcic biological assessment in very low birth weight neonates, we showed respect of nutritional guidelines could not protect from biological MBD.• Increase in alkaline phosphatase (ALP), about 500 UI/l at day of life 15, could be a biomarker of MBD with no need of X-ray evaluation and sufficient to begin a treatment to prevent osteopenia.","author":[{"dropping-particle":"","family":"Motte-Signoret","given":"Emmanuelle","non-dropping-particle":"","parse-names":false,"suffix":""},{"dropping-particle":"","family":"Jlassi","given":"Marwa","non-dropping-particle":"","parse-names":false,"suffix":""},{"dropping-particle":"","family":"Lecoq","given":"Ludivine","non-dropping-particle":"","parse-names":false,"suffix":""},{"dropping-particle":"","family":"Wachter","given":"Pierre Yves","non-dropping-particle":"","parse-names":false,"suffix":""},{"dropping-particle":"","family":"Durandy","given":"Amélie","non-dropping-particle":"","parse-names":false,"suffix":""},{"dropping-particle":"","family":"Boileau","given":"Pascal","non-dropping-particle":"","parse-names":false,"suffix":""}],"container-title":"European Journal of Pediatrics","id":"ITEM-1","issue":"March","issued":{"date-parts":[["2023"]]},"page":"94276","title":"Early elevated alkaline phosphatase as a surrogate biomarker of ongoing metabolic bone disease of prematurity","type":"article-journal","volume":"90"},"uris":["http://www.mendeley.com/documents/?uuid=9fa4c22b-d510-4f0d-a280-948a53a7d242"]}],"mendeley":{"formattedCitation":"[25]","plainTextFormattedCitation":"[25]","previouslyFormattedCitation":"[25]"},"properties":{"noteIndex":0},"schema":"https://github.com/citation-style-language/schema/raw/master/csl-citation.json"}</w:instrText>
      </w:r>
      <w:r w:rsidR="00F71DDC" w:rsidRPr="000A5E68">
        <w:rPr>
          <w:rFonts w:ascii="Minion Pro" w:hAnsi="Minion Pro"/>
          <w:i w:val="0"/>
          <w:color w:val="000000"/>
          <w:sz w:val="20"/>
          <w:u w:val="none"/>
        </w:rPr>
        <w:fldChar w:fldCharType="separate"/>
      </w:r>
      <w:r w:rsidRPr="000A5E68">
        <w:rPr>
          <w:rFonts w:ascii="Minion Pro" w:hAnsi="Minion Pro"/>
          <w:i w:val="0"/>
          <w:noProof/>
          <w:color w:val="000000"/>
          <w:sz w:val="20"/>
          <w:u w:val="none"/>
        </w:rPr>
        <w:t>[25]</w:t>
      </w:r>
      <w:r w:rsidR="00F71DDC" w:rsidRPr="000A5E68">
        <w:rPr>
          <w:rFonts w:ascii="Minion Pro" w:hAnsi="Minion Pro"/>
          <w:i w:val="0"/>
          <w:color w:val="000000"/>
          <w:sz w:val="20"/>
          <w:u w:val="none"/>
        </w:rPr>
        <w:fldChar w:fldCharType="end"/>
      </w:r>
      <w:r w:rsidRPr="000A5E68">
        <w:rPr>
          <w:rFonts w:ascii="Minion Pro" w:hAnsi="Minion Pro"/>
          <w:i w:val="0"/>
          <w:color w:val="000000"/>
          <w:sz w:val="20"/>
          <w:u w:val="none"/>
        </w:rPr>
        <w:t>demonstrated that the risk of MBD during infancy was significantly influenced by ELBW(Extremely Low Birth Rate) and VLBW(Very Low Birth Rate).</w:t>
      </w:r>
    </w:p>
    <w:p w14:paraId="27DC2778" w14:textId="77777777" w:rsidR="00045D39" w:rsidRDefault="00045D39" w:rsidP="00045D39">
      <w:pPr>
        <w:keepNext w:val="0"/>
        <w:keepLines w:val="0"/>
        <w:widowControl w:val="0"/>
        <w:spacing w:before="0" w:after="0"/>
        <w:ind w:left="0" w:right="0" w:firstLine="0"/>
        <w:jc w:val="both"/>
      </w:pPr>
      <w:r w:rsidRPr="000A5E68">
        <w:rPr>
          <w:rFonts w:ascii="Minion Pro" w:hAnsi="Minion Pro"/>
          <w:i w:val="0"/>
          <w:color w:val="000000"/>
          <w:sz w:val="20"/>
          <w:u w:val="none"/>
        </w:rPr>
        <w:t>birth weight and gestational age were found to be the highest risk factors for MBD in preterm newborns in previous research, and it was advised that MBD screening be done on children with birthweights less than 1500 g.</w:t>
      </w:r>
      <w:r w:rsidR="00851903">
        <w:rPr>
          <w:rFonts w:ascii="Minion Pro" w:hAnsi="Minion Pro"/>
          <w:i w:val="0"/>
          <w:color w:val="000000"/>
          <w:sz w:val="20"/>
          <w:u w:val="none"/>
        </w:rPr>
      </w:r>
      <w:r w:rsidRPr="000A5E68">
        <w:rPr>
          <w:rFonts w:ascii="Minion Pro" w:hAnsi="Minion Pro"/>
          <w:i w:val="0"/>
          <w:color w:val="000000"/>
          <w:sz w:val="20"/>
          <w:u w:val="none"/>
        </w:rPr>
        <w:t>32 Infants born prematurely will partially or completely miss this crucial time of bone growth since around 80% of fetal bone mineral accretion occurs in the last three months of pregnancy.</w:t>
      </w:r>
    </w:p>
    <w:p w14:paraId="43E30155" w14:textId="77777777" w:rsidR="00045D39" w:rsidRPr="001E7146" w:rsidRDefault="001E7146" w:rsidP="001E7146">
      <w:pPr>
        <w:keepNext w:val="0"/>
        <w:keepLines w:val="0"/>
        <w:widowControl w:val="0"/>
        <w:autoSpaceDE w:val="0"/>
        <w:autoSpaceDN w:val="0"/>
        <w:adjustRightInd w:val="0"/>
        <w:spacing w:before="0" w:after="0"/>
        <w:ind w:left="0" w:right="0" w:firstLine="0"/>
        <w:jc w:val="both"/>
        <w:rPr>
          <w:rFonts w:ascii="Times-Roman" w:hAnsi="Times-Roman" w:cs="Times-Roman"/>
        </w:rPr>
      </w:pPr>
      <w:r w:rsidRPr="001E7146">
        <w:rPr>
          <w:rFonts w:ascii="Minion Pro" w:hAnsi="Minion Pro" w:cs="Times-Roman"/>
          <w:i w:val="0"/>
          <w:color w:val="000000"/>
          <w:sz w:val="20"/>
          <w:u w:val="none"/>
        </w:rPr>
        <w:t>Table 1</w:t>
      </w:r>
      <w:r>
        <w:rPr>
          <w:rFonts w:ascii="Minion Pro" w:hAnsi="Minion Pro" w:cs="Times-Roman"/>
          <w:i w:val="0"/>
          <w:color w:val="000000"/>
          <w:sz w:val="20"/>
          <w:u w:val="none"/>
        </w:rPr>
        <w:t>shows the s</w:t>
      </w:r>
      <w:r w:rsidRPr="001E7146">
        <w:rPr>
          <w:rFonts w:ascii="Minion Pro" w:hAnsi="Minion Pro" w:cs="Times-Roman"/>
          <w:i w:val="0"/>
          <w:color w:val="000000"/>
          <w:sz w:val="20"/>
          <w:u w:val="none"/>
        </w:rPr>
        <w:t>elected Features of Dataset 1 and Dataset 2based on their medical health condition and their p-value results to discriminate the osteoporotic and normal participants</w:t>
      </w:r>
      <w:r>
        <w:rPr>
          <w:rFonts w:ascii="Minion Pro" w:hAnsi="Minion Pro" w:cs="Times-Roman"/>
          <w:i w:val="0"/>
          <w:color w:val="000000"/>
          <w:sz w:val="20"/>
          <w:u w:val="none"/>
        </w:rPr>
        <w:t>.</w:t>
      </w:r>
    </w:p>
    <w:p w14:paraId="76B6F271" w14:textId="77777777" w:rsidR="00516F03" w:rsidRDefault="00516F03" w:rsidP="008C1DD6">
      <w:pPr>
        <w:keepNext w:val="0"/>
        <w:keepLines w:val="0"/>
        <w:widowControl w:val="0"/>
        <w:autoSpaceDE w:val="0"/>
        <w:autoSpaceDN w:val="0"/>
        <w:adjustRightInd w:val="0"/>
        <w:spacing w:before="0" w:after="0"/>
        <w:ind w:left="0" w:right="0" w:firstLine="0"/>
        <w:jc w:val="both"/>
        <w:rPr>
          <w:rFonts w:ascii="Times-Roman" w:hAnsi="Times-Roman" w:cs="Times-Roman"/>
          <w:b/>
          <w:sz w:val="16"/>
          <w:szCs w:val="16"/>
        </w:rPr>
      </w:pPr>
    </w:p>
    <w:p w14:paraId="637FCDB6" w14:textId="77777777" w:rsidR="00516F03" w:rsidRDefault="00516F03" w:rsidP="008C1DD6">
      <w:pPr>
        <w:keepNext w:val="0"/>
        <w:keepLines w:val="0"/>
        <w:widowControl w:val="0"/>
        <w:autoSpaceDE w:val="0"/>
        <w:autoSpaceDN w:val="0"/>
        <w:adjustRightInd w:val="0"/>
        <w:spacing w:before="0" w:after="0"/>
        <w:ind w:left="0" w:right="0" w:firstLine="0"/>
        <w:jc w:val="both"/>
        <w:rPr>
          <w:rFonts w:ascii="Times-Roman" w:hAnsi="Times-Roman" w:cs="Times-Roman"/>
          <w:b/>
          <w:sz w:val="16"/>
          <w:szCs w:val="16"/>
        </w:rPr>
      </w:pPr>
    </w:p>
    <w:p w14:paraId="3903B847" w14:textId="77777777" w:rsidR="00516F03" w:rsidRDefault="00516F03" w:rsidP="008C1DD6">
      <w:pPr>
        <w:keepNext w:val="0"/>
        <w:keepLines w:val="0"/>
        <w:widowControl w:val="0"/>
        <w:autoSpaceDE w:val="0"/>
        <w:autoSpaceDN w:val="0"/>
        <w:adjustRightInd w:val="0"/>
        <w:spacing w:before="0" w:after="0"/>
        <w:ind w:left="0" w:right="0" w:firstLine="0"/>
        <w:jc w:val="both"/>
        <w:rPr>
          <w:rFonts w:ascii="Times-Roman" w:hAnsi="Times-Roman" w:cs="Times-Roman"/>
          <w:b/>
          <w:sz w:val="16"/>
          <w:szCs w:val="16"/>
        </w:rPr>
        <w:sectPr w:rsidR="00516F03" w:rsidSect="004B2C37">
          <w:headerReference w:type="default" r:id="rId21"/>
          <w:headerReference w:type="first" r:id="rId22"/>
          <w:headerReference w:type="even" r:id="rId23"/>
          <w:type w:val="continuous"/>
          <w:pgSz w:w="12240" w:h="15846" w:code="8"/>
          <w:pgMar w:top="1440" w:right="1440" w:bottom="1440" w:left="1440" w:header="720" w:footer="720" w:gutter="0"/>
          <w:cols w:num="1" w:space="720"/>
          <w:titlePg/>
          <w:docGrid w:linePitch="360"/>
          <w:lnNumType w:countBy="1" w:distance="360" w:restart="continuous" w:numStart="1"/>
          <w:pgNumType/>
        </w:sectPr>
      </w:pPr>
    </w:p>
    <w:tbl>
      <w:tblPr>
        <w:tblStyle w:val="TableGrid"/>
        <w:tblW w:w="9361" w:type="dxa"/>
        <w:jc w:val="left"/>
        <w:tblInd w:w="108" w:type="dxa"/>
        <w:tblLayout w:type="fixed"/>
        <w:tblLook w:val="04A0" w:firstRow="1" w:lastRow="0" w:firstColumn="1" w:lastColumn="0" w:noHBand="0" w:noVBand="1"/>
      </w:tblPr>
      <w:tblGrid>
        <w:gridCol w:w="1218"/>
        <w:gridCol w:w="1071"/>
        <w:gridCol w:w="1134"/>
        <w:gridCol w:w="97"/>
        <w:gridCol w:w="1116"/>
        <w:gridCol w:w="1202"/>
        <w:gridCol w:w="859"/>
        <w:gridCol w:w="1116"/>
        <w:gridCol w:w="859"/>
        <w:gridCol w:w="288"/>
        <w:gridCol w:w="399"/>
      </w:tblGrid>
      <w:tr w:rsidR="00045D39" w:rsidRPr="00FA27A2" w14:paraId="38586C89" w14:textId="77777777" w:rsidTr="00516F03">
        <w:trPr>
          <w:trHeight w:val="575"/>
        </w:trPr>
        <w:tc>
          <w:tcPr>
            <w:tcW w:w="9810" w:type="dxa"/>
            <w:gridSpan w:val="11"/>
            <w:tcBorders>
              <w:right w:val="single" w:sz="4" w:space="0" w:color="auto"/>
            </w:tcBorders>
          </w:tcPr>
          <w:p w14:paraId="5EC14A9E" w14:textId="77777777" w:rsidR="00045D39" w:rsidRPr="003D68F8" w:rsidRDefault="00045D39" w:rsidP="008C1DD6">
            <w:pPr>
              <w:autoSpaceDE w:val="0"/>
              <w:autoSpaceDN w:val="0"/>
              <w:adjustRightInd w:val="0"/>
              <w:rPr>
                <w:rFonts w:ascii="Times-Roman" w:hAnsi="Times-Roman" w:cs="Times-Roman"/>
                <w:b/>
                <w:sz w:val="16"/>
                <w:szCs w:val="16"/>
              </w:rPr>
            </w:pPr>
            <w:r w:rsidRPr="003D68F8">
              <w:rPr>
                <w:rFonts w:ascii="Times-Roman" w:hAnsi="Times-Roman" w:cs="Times-Roman"/>
                <w:b/>
                <w:sz w:val="16"/>
                <w:szCs w:val="16"/>
              </w:rPr>
              <w:lastRenderedPageBreak/>
              <w:t>Table 1 Selected Features of Dataset 1 and Dataset 2based on their medical health condition and their p-value results</w:t>
            </w:r>
            <w:r w:rsidR="001B4E2C">
              <w:rPr>
                <w:rFonts w:ascii="Times-Roman" w:hAnsi="Times-Roman" w:cs="Times-Roman"/>
                <w:b/>
                <w:sz w:val="16"/>
                <w:szCs w:val="16"/>
              </w:rPr>
              <w:t xml:space="preserve"> </w:t>
            </w:r>
            <w:r w:rsidRPr="003D68F8">
              <w:rPr>
                <w:rFonts w:ascii="Times-Roman" w:hAnsi="Times-Roman" w:cs="Times-Roman"/>
                <w:b/>
                <w:sz w:val="16"/>
                <w:szCs w:val="16"/>
              </w:rPr>
              <w:t>to discriminate the osteoporotic and normal participants</w:t>
            </w:r>
          </w:p>
        </w:tc>
      </w:tr>
      <w:tr w:rsidR="00045D39" w:rsidRPr="00FA27A2" w14:paraId="2C83BAB7" w14:textId="77777777" w:rsidTr="00516F03">
        <w:trPr>
          <w:trHeight w:val="710"/>
        </w:trPr>
        <w:tc>
          <w:tcPr>
            <w:tcW w:w="4860" w:type="dxa"/>
            <w:gridSpan w:val="5"/>
          </w:tcPr>
          <w:p w14:paraId="33489525" w14:textId="77777777" w:rsidR="00045D39" w:rsidRPr="003D68F8" w:rsidRDefault="00045D39" w:rsidP="008C1DD6">
            <w:pPr>
              <w:autoSpaceDE w:val="0"/>
              <w:autoSpaceDN w:val="0"/>
              <w:adjustRightInd w:val="0"/>
              <w:jc w:val="left"/>
              <w:rPr>
                <w:rFonts w:ascii="Times-Roman" w:hAnsi="Times-Roman" w:cs="Times-Roman"/>
                <w:b/>
                <w:sz w:val="15"/>
                <w:szCs w:val="15"/>
              </w:rPr>
            </w:pPr>
            <w:r w:rsidRPr="003D68F8">
              <w:rPr>
                <w:rFonts w:ascii="Times-Roman" w:hAnsi="Times-Roman" w:cs="Times-Roman"/>
                <w:b/>
                <w:sz w:val="15"/>
                <w:szCs w:val="15"/>
              </w:rPr>
              <w:t>Feature selection of the participants of data set 1 based on their health conditions and calculation of results for normal and Osteoporotic patients.</w:t>
            </w:r>
          </w:p>
        </w:tc>
        <w:tc>
          <w:tcPr>
            <w:tcW w:w="4950" w:type="dxa"/>
            <w:gridSpan w:val="6"/>
            <w:tcBorders>
              <w:right w:val="single" w:sz="4" w:space="0" w:color="auto"/>
            </w:tcBorders>
          </w:tcPr>
          <w:p w14:paraId="028E69F6" w14:textId="77777777" w:rsidR="00045D39" w:rsidRPr="003D68F8" w:rsidRDefault="00045D39" w:rsidP="008C1DD6">
            <w:pPr>
              <w:pStyle w:val="bullets"/>
              <w:rPr>
                <w:b/>
                <w:sz w:val="15"/>
                <w:szCs w:val="15"/>
              </w:rPr>
            </w:pPr>
            <w:r w:rsidRPr="003D68F8">
              <w:rPr>
                <w:b/>
                <w:sz w:val="15"/>
                <w:szCs w:val="15"/>
              </w:rPr>
              <w:t>Feature selection of data set 2 of postmenopausal women based on their medical history</w:t>
            </w:r>
          </w:p>
        </w:tc>
      </w:tr>
      <w:tr w:rsidR="00045D39" w:rsidRPr="00FA27A2" w14:paraId="785C58AB" w14:textId="77777777" w:rsidTr="00516F03">
        <w:trPr>
          <w:trHeight w:val="530"/>
        </w:trPr>
        <w:tc>
          <w:tcPr>
            <w:tcW w:w="1277" w:type="dxa"/>
          </w:tcPr>
          <w:p w14:paraId="549EC8BC" w14:textId="77777777" w:rsidR="00045D39" w:rsidRPr="00EE022C" w:rsidRDefault="00045D39" w:rsidP="00516F03">
            <w:pPr>
              <w:jc w:val="left"/>
              <w:rPr>
                <w:b/>
                <w:sz w:val="16"/>
                <w:szCs w:val="16"/>
              </w:rPr>
            </w:pPr>
            <w:r w:rsidRPr="00EE022C">
              <w:rPr>
                <w:b/>
                <w:sz w:val="16"/>
                <w:szCs w:val="16"/>
              </w:rPr>
              <w:t>Features</w:t>
            </w:r>
          </w:p>
        </w:tc>
        <w:tc>
          <w:tcPr>
            <w:tcW w:w="1122" w:type="dxa"/>
          </w:tcPr>
          <w:p w14:paraId="6A87C55D" w14:textId="77777777" w:rsidR="00045D39" w:rsidRPr="00EE022C" w:rsidRDefault="00045D39" w:rsidP="008C1DD6">
            <w:pPr>
              <w:rPr>
                <w:b/>
                <w:sz w:val="16"/>
                <w:szCs w:val="16"/>
              </w:rPr>
            </w:pPr>
            <w:r w:rsidRPr="00EE022C">
              <w:rPr>
                <w:b/>
                <w:sz w:val="16"/>
                <w:szCs w:val="16"/>
              </w:rPr>
              <w:t>Total n=5982</w:t>
            </w:r>
          </w:p>
        </w:tc>
        <w:tc>
          <w:tcPr>
            <w:tcW w:w="1291" w:type="dxa"/>
            <w:gridSpan w:val="2"/>
          </w:tcPr>
          <w:p w14:paraId="75AB5E4B" w14:textId="77777777" w:rsidR="00045D39" w:rsidRPr="00EE022C" w:rsidRDefault="00045D39" w:rsidP="008C1DD6">
            <w:pPr>
              <w:rPr>
                <w:b/>
                <w:sz w:val="16"/>
                <w:szCs w:val="16"/>
              </w:rPr>
            </w:pPr>
            <w:r w:rsidRPr="00EE022C">
              <w:rPr>
                <w:b/>
                <w:sz w:val="16"/>
                <w:szCs w:val="16"/>
              </w:rPr>
              <w:t>Females n=2929</w:t>
            </w:r>
          </w:p>
        </w:tc>
        <w:tc>
          <w:tcPr>
            <w:tcW w:w="1170" w:type="dxa"/>
          </w:tcPr>
          <w:p w14:paraId="4A4D5776" w14:textId="77777777" w:rsidR="00045D39" w:rsidRPr="00EE022C" w:rsidRDefault="00045D39" w:rsidP="008C1DD6">
            <w:pPr>
              <w:rPr>
                <w:b/>
                <w:sz w:val="16"/>
                <w:szCs w:val="16"/>
              </w:rPr>
            </w:pPr>
            <w:r w:rsidRPr="00EE022C">
              <w:rPr>
                <w:b/>
                <w:i/>
                <w:sz w:val="16"/>
                <w:szCs w:val="16"/>
              </w:rPr>
              <w:t>p</w:t>
            </w:r>
            <w:r w:rsidRPr="00EE022C">
              <w:rPr>
                <w:b/>
                <w:sz w:val="16"/>
                <w:szCs w:val="16"/>
              </w:rPr>
              <w:t>-value</w:t>
            </w:r>
          </w:p>
        </w:tc>
        <w:tc>
          <w:tcPr>
            <w:tcW w:w="1260" w:type="dxa"/>
            <w:tcBorders>
              <w:right w:val="single" w:sz="4" w:space="0" w:color="auto"/>
            </w:tcBorders>
          </w:tcPr>
          <w:p w14:paraId="14211938" w14:textId="77777777" w:rsidR="00045D39" w:rsidRPr="00417D36" w:rsidRDefault="00045D39" w:rsidP="008C1DD6">
            <w:pPr>
              <w:pStyle w:val="bullets"/>
              <w:rPr>
                <w:b/>
                <w:sz w:val="16"/>
                <w:szCs w:val="16"/>
              </w:rPr>
            </w:pPr>
            <w:r w:rsidRPr="00417D36">
              <w:rPr>
                <w:b/>
                <w:sz w:val="16"/>
                <w:szCs w:val="16"/>
              </w:rPr>
              <w:t>Features</w:t>
            </w:r>
          </w:p>
        </w:tc>
        <w:tc>
          <w:tcPr>
            <w:tcW w:w="900" w:type="dxa"/>
            <w:tcBorders>
              <w:left w:val="single" w:sz="4" w:space="0" w:color="auto"/>
              <w:right w:val="single" w:sz="4" w:space="0" w:color="auto"/>
            </w:tcBorders>
          </w:tcPr>
          <w:p w14:paraId="54D13A88" w14:textId="77777777" w:rsidR="00045D39" w:rsidRPr="00417D36" w:rsidRDefault="00045D39" w:rsidP="008C1DD6">
            <w:pPr>
              <w:pStyle w:val="bullets"/>
              <w:rPr>
                <w:b/>
                <w:sz w:val="16"/>
                <w:szCs w:val="16"/>
              </w:rPr>
            </w:pPr>
            <w:r w:rsidRPr="00417D36">
              <w:rPr>
                <w:b/>
                <w:sz w:val="16"/>
                <w:szCs w:val="16"/>
              </w:rPr>
              <w:t>Total n=</w:t>
            </w:r>
            <w:r>
              <w:rPr>
                <w:b/>
                <w:sz w:val="16"/>
                <w:szCs w:val="16"/>
              </w:rPr>
              <w:t>1792</w:t>
            </w:r>
          </w:p>
        </w:tc>
        <w:tc>
          <w:tcPr>
            <w:tcW w:w="1170" w:type="dxa"/>
            <w:tcBorders>
              <w:left w:val="single" w:sz="4" w:space="0" w:color="auto"/>
              <w:right w:val="single" w:sz="4" w:space="0" w:color="auto"/>
            </w:tcBorders>
          </w:tcPr>
          <w:p w14:paraId="79BF4E4B" w14:textId="77777777" w:rsidR="00045D39" w:rsidRPr="00417D36" w:rsidRDefault="00045D39" w:rsidP="008C1DD6">
            <w:pPr>
              <w:pStyle w:val="bullets"/>
              <w:rPr>
                <w:b/>
                <w:sz w:val="16"/>
                <w:szCs w:val="16"/>
              </w:rPr>
            </w:pPr>
            <w:r>
              <w:rPr>
                <w:b/>
                <w:sz w:val="16"/>
                <w:szCs w:val="16"/>
              </w:rPr>
              <w:t>Training set n=1343</w:t>
            </w:r>
          </w:p>
        </w:tc>
        <w:tc>
          <w:tcPr>
            <w:tcW w:w="900" w:type="dxa"/>
            <w:tcBorders>
              <w:left w:val="single" w:sz="4" w:space="0" w:color="auto"/>
              <w:right w:val="single" w:sz="4" w:space="0" w:color="auto"/>
            </w:tcBorders>
          </w:tcPr>
          <w:p w14:paraId="3B2B79C0" w14:textId="77777777" w:rsidR="00045D39" w:rsidRPr="00417D36" w:rsidRDefault="00045D39" w:rsidP="008C1DD6">
            <w:pPr>
              <w:pStyle w:val="bullets"/>
              <w:jc w:val="left"/>
              <w:rPr>
                <w:b/>
                <w:sz w:val="16"/>
                <w:szCs w:val="16"/>
              </w:rPr>
            </w:pPr>
            <w:r w:rsidRPr="00417D36">
              <w:rPr>
                <w:b/>
                <w:sz w:val="16"/>
                <w:szCs w:val="16"/>
              </w:rPr>
              <w:t>Test set</w:t>
            </w:r>
            <w:r>
              <w:rPr>
                <w:b/>
                <w:sz w:val="16"/>
                <w:szCs w:val="16"/>
              </w:rPr>
              <w:t xml:space="preserve"> n=439</w:t>
            </w:r>
          </w:p>
        </w:tc>
        <w:tc>
          <w:tcPr>
            <w:tcW w:w="720" w:type="dxa"/>
            <w:gridSpan w:val="2"/>
            <w:tcBorders>
              <w:left w:val="single" w:sz="4" w:space="0" w:color="auto"/>
            </w:tcBorders>
          </w:tcPr>
          <w:p w14:paraId="0DEA80D0" w14:textId="77777777" w:rsidR="00045D39" w:rsidRPr="00417D36" w:rsidRDefault="00045D39" w:rsidP="008C1DD6">
            <w:pPr>
              <w:pStyle w:val="bullets"/>
              <w:rPr>
                <w:b/>
                <w:sz w:val="16"/>
                <w:szCs w:val="16"/>
              </w:rPr>
            </w:pPr>
            <w:r w:rsidRPr="00417D36">
              <w:rPr>
                <w:b/>
                <w:i/>
                <w:sz w:val="16"/>
                <w:szCs w:val="16"/>
              </w:rPr>
              <w:t>p</w:t>
            </w:r>
            <w:r w:rsidRPr="00417D36">
              <w:rPr>
                <w:b/>
                <w:sz w:val="16"/>
                <w:szCs w:val="16"/>
              </w:rPr>
              <w:t>-value</w:t>
            </w:r>
          </w:p>
        </w:tc>
      </w:tr>
      <w:tr w:rsidR="00045D39" w14:paraId="10FD1C38" w14:textId="77777777" w:rsidTr="00516F03">
        <w:trPr>
          <w:trHeight w:val="359"/>
        </w:trPr>
        <w:tc>
          <w:tcPr>
            <w:tcW w:w="1277" w:type="dxa"/>
          </w:tcPr>
          <w:p w14:paraId="09C27F4D" w14:textId="77777777" w:rsidR="00045D39" w:rsidRPr="00EE022C" w:rsidRDefault="00045D39" w:rsidP="00516F03">
            <w:pPr>
              <w:jc w:val="left"/>
              <w:rPr>
                <w:sz w:val="16"/>
                <w:szCs w:val="16"/>
              </w:rPr>
            </w:pPr>
            <w:r w:rsidRPr="00EE022C">
              <w:rPr>
                <w:sz w:val="16"/>
                <w:szCs w:val="16"/>
              </w:rPr>
              <w:t>Age (in years)</w:t>
            </w:r>
          </w:p>
        </w:tc>
        <w:tc>
          <w:tcPr>
            <w:tcW w:w="1122" w:type="dxa"/>
          </w:tcPr>
          <w:p w14:paraId="059A6519" w14:textId="77777777" w:rsidR="00045D39" w:rsidRPr="00EE022C" w:rsidRDefault="00045D39" w:rsidP="008C1DD6">
            <w:pPr>
              <w:rPr>
                <w:sz w:val="16"/>
                <w:szCs w:val="16"/>
              </w:rPr>
            </w:pPr>
            <w:r w:rsidRPr="00EE022C">
              <w:rPr>
                <w:sz w:val="16"/>
                <w:szCs w:val="16"/>
              </w:rPr>
              <w:t>59.3±7.0</w:t>
            </w:r>
          </w:p>
        </w:tc>
        <w:tc>
          <w:tcPr>
            <w:tcW w:w="1291" w:type="dxa"/>
            <w:gridSpan w:val="2"/>
          </w:tcPr>
          <w:p w14:paraId="0F25256F" w14:textId="77777777" w:rsidR="00045D39" w:rsidRPr="00EE022C" w:rsidRDefault="00045D39" w:rsidP="008C1DD6">
            <w:pPr>
              <w:rPr>
                <w:sz w:val="16"/>
                <w:szCs w:val="16"/>
              </w:rPr>
            </w:pPr>
            <w:r w:rsidRPr="00EE022C">
              <w:rPr>
                <w:sz w:val="16"/>
                <w:szCs w:val="16"/>
              </w:rPr>
              <w:t>59.3±7.0</w:t>
            </w:r>
          </w:p>
        </w:tc>
        <w:tc>
          <w:tcPr>
            <w:tcW w:w="1170" w:type="dxa"/>
          </w:tcPr>
          <w:p w14:paraId="1F19D364" w14:textId="77777777" w:rsidR="00045D39" w:rsidRPr="00EE022C" w:rsidRDefault="00045D39" w:rsidP="008C1DD6">
            <w:pPr>
              <w:rPr>
                <w:sz w:val="16"/>
                <w:szCs w:val="16"/>
              </w:rPr>
            </w:pPr>
            <w:r w:rsidRPr="00EE022C">
              <w:rPr>
                <w:sz w:val="16"/>
                <w:szCs w:val="16"/>
              </w:rPr>
              <w:t>0.9650</w:t>
            </w:r>
          </w:p>
        </w:tc>
        <w:tc>
          <w:tcPr>
            <w:tcW w:w="1260" w:type="dxa"/>
            <w:tcBorders>
              <w:right w:val="single" w:sz="4" w:space="0" w:color="auto"/>
            </w:tcBorders>
          </w:tcPr>
          <w:p w14:paraId="3CCF626B" w14:textId="77777777" w:rsidR="00045D39" w:rsidRPr="00A16AB8" w:rsidRDefault="00045D39" w:rsidP="008C1DD6">
            <w:pPr>
              <w:pStyle w:val="bullets"/>
              <w:jc w:val="left"/>
              <w:rPr>
                <w:sz w:val="16"/>
                <w:szCs w:val="16"/>
              </w:rPr>
            </w:pPr>
            <w:r w:rsidRPr="00A16AB8">
              <w:rPr>
                <w:sz w:val="16"/>
                <w:szCs w:val="16"/>
              </w:rPr>
              <w:t>Age (in years)</w:t>
            </w:r>
          </w:p>
        </w:tc>
        <w:tc>
          <w:tcPr>
            <w:tcW w:w="900" w:type="dxa"/>
            <w:tcBorders>
              <w:left w:val="single" w:sz="4" w:space="0" w:color="auto"/>
              <w:right w:val="single" w:sz="4" w:space="0" w:color="auto"/>
            </w:tcBorders>
          </w:tcPr>
          <w:p w14:paraId="7AFF7A76" w14:textId="77777777" w:rsidR="00045D39" w:rsidRPr="00A16AB8" w:rsidRDefault="00045D39" w:rsidP="008C1DD6">
            <w:pPr>
              <w:pStyle w:val="bullets"/>
              <w:rPr>
                <w:sz w:val="16"/>
                <w:szCs w:val="16"/>
              </w:rPr>
            </w:pPr>
            <w:r>
              <w:rPr>
                <w:sz w:val="16"/>
                <w:szCs w:val="16"/>
              </w:rPr>
              <w:t>63 (57</w:t>
            </w:r>
            <w:r w:rsidRPr="00A16AB8">
              <w:rPr>
                <w:sz w:val="16"/>
                <w:szCs w:val="16"/>
              </w:rPr>
              <w:t>–70)</w:t>
            </w:r>
          </w:p>
        </w:tc>
        <w:tc>
          <w:tcPr>
            <w:tcW w:w="1170" w:type="dxa"/>
            <w:tcBorders>
              <w:left w:val="single" w:sz="4" w:space="0" w:color="auto"/>
              <w:right w:val="single" w:sz="4" w:space="0" w:color="auto"/>
            </w:tcBorders>
          </w:tcPr>
          <w:p w14:paraId="3609E7AB" w14:textId="77777777" w:rsidR="00045D39" w:rsidRPr="00A16AB8" w:rsidRDefault="00045D39" w:rsidP="008C1DD6">
            <w:pPr>
              <w:pStyle w:val="bullets"/>
              <w:rPr>
                <w:sz w:val="16"/>
                <w:szCs w:val="16"/>
              </w:rPr>
            </w:pPr>
            <w:r>
              <w:rPr>
                <w:sz w:val="16"/>
                <w:szCs w:val="16"/>
              </w:rPr>
              <w:t>63 (57</w:t>
            </w:r>
            <w:r w:rsidRPr="00A16AB8">
              <w:rPr>
                <w:sz w:val="16"/>
                <w:szCs w:val="16"/>
              </w:rPr>
              <w:t>–70</w:t>
            </w:r>
            <w:r>
              <w:rPr>
                <w:sz w:val="16"/>
                <w:szCs w:val="16"/>
              </w:rPr>
              <w:t>)</w:t>
            </w:r>
          </w:p>
        </w:tc>
        <w:tc>
          <w:tcPr>
            <w:tcW w:w="900" w:type="dxa"/>
            <w:tcBorders>
              <w:left w:val="single" w:sz="4" w:space="0" w:color="auto"/>
              <w:right w:val="single" w:sz="4" w:space="0" w:color="auto"/>
            </w:tcBorders>
          </w:tcPr>
          <w:p w14:paraId="35096D0E" w14:textId="77777777" w:rsidR="00045D39" w:rsidRPr="00A16AB8" w:rsidRDefault="00045D39" w:rsidP="008C1DD6">
            <w:pPr>
              <w:pStyle w:val="bullets"/>
              <w:rPr>
                <w:sz w:val="16"/>
                <w:szCs w:val="16"/>
              </w:rPr>
            </w:pPr>
            <w:r>
              <w:rPr>
                <w:sz w:val="16"/>
                <w:szCs w:val="16"/>
              </w:rPr>
              <w:t>63 (57</w:t>
            </w:r>
            <w:r w:rsidRPr="00A16AB8">
              <w:rPr>
                <w:sz w:val="16"/>
                <w:szCs w:val="16"/>
              </w:rPr>
              <w:t>–70</w:t>
            </w:r>
            <w:r>
              <w:rPr>
                <w:sz w:val="16"/>
                <w:szCs w:val="16"/>
              </w:rPr>
              <w:t>)</w:t>
            </w:r>
          </w:p>
        </w:tc>
        <w:tc>
          <w:tcPr>
            <w:tcW w:w="720" w:type="dxa"/>
            <w:gridSpan w:val="2"/>
            <w:tcBorders>
              <w:left w:val="single" w:sz="4" w:space="0" w:color="auto"/>
            </w:tcBorders>
          </w:tcPr>
          <w:p w14:paraId="45A97512" w14:textId="77777777" w:rsidR="00045D39" w:rsidRPr="00A16AB8" w:rsidRDefault="00045D39" w:rsidP="008C1DD6">
            <w:pPr>
              <w:pStyle w:val="bullets"/>
              <w:rPr>
                <w:sz w:val="16"/>
                <w:szCs w:val="16"/>
              </w:rPr>
            </w:pPr>
            <w:r>
              <w:rPr>
                <w:sz w:val="16"/>
                <w:szCs w:val="16"/>
              </w:rPr>
              <w:t>0.840</w:t>
            </w:r>
          </w:p>
        </w:tc>
      </w:tr>
      <w:tr w:rsidR="00045D39" w14:paraId="6AD5F4BE" w14:textId="77777777" w:rsidTr="00516F03">
        <w:tc>
          <w:tcPr>
            <w:tcW w:w="1277" w:type="dxa"/>
          </w:tcPr>
          <w:p w14:paraId="59303A4D" w14:textId="77777777" w:rsidR="00045D39" w:rsidRPr="00EE022C" w:rsidRDefault="00045D39" w:rsidP="00516F03">
            <w:pPr>
              <w:jc w:val="left"/>
              <w:rPr>
                <w:sz w:val="16"/>
                <w:szCs w:val="16"/>
              </w:rPr>
            </w:pPr>
            <w:r w:rsidRPr="00EE022C">
              <w:rPr>
                <w:sz w:val="16"/>
                <w:szCs w:val="16"/>
              </w:rPr>
              <w:t>Diabetes History</w:t>
            </w:r>
          </w:p>
        </w:tc>
        <w:tc>
          <w:tcPr>
            <w:tcW w:w="1122" w:type="dxa"/>
          </w:tcPr>
          <w:p w14:paraId="2A399163" w14:textId="77777777" w:rsidR="00045D39" w:rsidRPr="00EE022C" w:rsidRDefault="00045D39" w:rsidP="008C1DD6">
            <w:pPr>
              <w:rPr>
                <w:sz w:val="16"/>
                <w:szCs w:val="16"/>
              </w:rPr>
            </w:pPr>
            <w:r>
              <w:rPr>
                <w:sz w:val="16"/>
                <w:szCs w:val="16"/>
              </w:rPr>
              <w:t>1087</w:t>
            </w:r>
            <w:r w:rsidRPr="00EE022C">
              <w:rPr>
                <w:sz w:val="16"/>
                <w:szCs w:val="16"/>
              </w:rPr>
              <w:t xml:space="preserve"> (18.0)</w:t>
            </w:r>
          </w:p>
        </w:tc>
        <w:tc>
          <w:tcPr>
            <w:tcW w:w="1291" w:type="dxa"/>
            <w:gridSpan w:val="2"/>
          </w:tcPr>
          <w:p w14:paraId="7D8B4EA4" w14:textId="77777777" w:rsidR="00045D39" w:rsidRPr="00EE022C" w:rsidRDefault="00045D39" w:rsidP="008C1DD6">
            <w:pPr>
              <w:rPr>
                <w:sz w:val="16"/>
                <w:szCs w:val="16"/>
              </w:rPr>
            </w:pPr>
            <w:r>
              <w:rPr>
                <w:sz w:val="16"/>
                <w:szCs w:val="16"/>
              </w:rPr>
              <w:t>467</w:t>
            </w:r>
            <w:r w:rsidRPr="00EE022C">
              <w:rPr>
                <w:sz w:val="16"/>
                <w:szCs w:val="16"/>
              </w:rPr>
              <w:t>(15.6)</w:t>
            </w:r>
          </w:p>
        </w:tc>
        <w:tc>
          <w:tcPr>
            <w:tcW w:w="1170" w:type="dxa"/>
          </w:tcPr>
          <w:p w14:paraId="6454D4F3"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257A535C" w14:textId="77777777" w:rsidR="00045D39" w:rsidRPr="00A16AB8" w:rsidRDefault="00045D39" w:rsidP="008C1DD6">
            <w:pPr>
              <w:pStyle w:val="bullets"/>
              <w:rPr>
                <w:sz w:val="16"/>
                <w:szCs w:val="16"/>
              </w:rPr>
            </w:pPr>
            <w:r w:rsidRPr="00A16AB8">
              <w:rPr>
                <w:sz w:val="16"/>
                <w:szCs w:val="16"/>
              </w:rPr>
              <w:t xml:space="preserve">Diabetes </w:t>
            </w:r>
          </w:p>
        </w:tc>
        <w:tc>
          <w:tcPr>
            <w:tcW w:w="900" w:type="dxa"/>
            <w:tcBorders>
              <w:left w:val="single" w:sz="4" w:space="0" w:color="auto"/>
              <w:right w:val="single" w:sz="4" w:space="0" w:color="auto"/>
            </w:tcBorders>
          </w:tcPr>
          <w:p w14:paraId="60DCA52B" w14:textId="77777777" w:rsidR="00045D39" w:rsidRPr="00A16AB8" w:rsidRDefault="00045D39" w:rsidP="008C1DD6">
            <w:pPr>
              <w:pStyle w:val="bullets"/>
              <w:rPr>
                <w:sz w:val="16"/>
                <w:szCs w:val="16"/>
              </w:rPr>
            </w:pPr>
            <w:r w:rsidRPr="00A16AB8">
              <w:rPr>
                <w:sz w:val="16"/>
                <w:szCs w:val="16"/>
              </w:rPr>
              <w:t>217 (12.1)</w:t>
            </w:r>
          </w:p>
        </w:tc>
        <w:tc>
          <w:tcPr>
            <w:tcW w:w="1170" w:type="dxa"/>
            <w:tcBorders>
              <w:left w:val="single" w:sz="4" w:space="0" w:color="auto"/>
              <w:right w:val="single" w:sz="4" w:space="0" w:color="auto"/>
            </w:tcBorders>
          </w:tcPr>
          <w:p w14:paraId="0BB95E08" w14:textId="77777777" w:rsidR="00045D39" w:rsidRPr="00A16AB8" w:rsidRDefault="00045D39" w:rsidP="008C1DD6">
            <w:pPr>
              <w:pStyle w:val="bullets"/>
              <w:rPr>
                <w:sz w:val="16"/>
                <w:szCs w:val="16"/>
              </w:rPr>
            </w:pPr>
            <w:r w:rsidRPr="00A16AB8">
              <w:rPr>
                <w:sz w:val="16"/>
                <w:szCs w:val="16"/>
              </w:rPr>
              <w:t>160 (11.8)</w:t>
            </w:r>
          </w:p>
        </w:tc>
        <w:tc>
          <w:tcPr>
            <w:tcW w:w="900" w:type="dxa"/>
            <w:tcBorders>
              <w:left w:val="single" w:sz="4" w:space="0" w:color="auto"/>
              <w:right w:val="single" w:sz="4" w:space="0" w:color="auto"/>
            </w:tcBorders>
          </w:tcPr>
          <w:p w14:paraId="61591299" w14:textId="77777777" w:rsidR="00045D39" w:rsidRPr="00A16AB8" w:rsidRDefault="00045D39" w:rsidP="008C1DD6">
            <w:pPr>
              <w:pStyle w:val="bullets"/>
              <w:rPr>
                <w:sz w:val="16"/>
                <w:szCs w:val="16"/>
              </w:rPr>
            </w:pPr>
            <w:r w:rsidRPr="00A16AB8">
              <w:rPr>
                <w:sz w:val="16"/>
                <w:szCs w:val="16"/>
              </w:rPr>
              <w:t>57 (13.0)</w:t>
            </w:r>
          </w:p>
        </w:tc>
        <w:tc>
          <w:tcPr>
            <w:tcW w:w="720" w:type="dxa"/>
            <w:gridSpan w:val="2"/>
            <w:tcBorders>
              <w:left w:val="single" w:sz="4" w:space="0" w:color="auto"/>
            </w:tcBorders>
          </w:tcPr>
          <w:p w14:paraId="312B728A" w14:textId="77777777" w:rsidR="00045D39" w:rsidRPr="00A16AB8" w:rsidRDefault="00045D39" w:rsidP="008C1DD6">
            <w:pPr>
              <w:pStyle w:val="bullets"/>
              <w:rPr>
                <w:sz w:val="16"/>
                <w:szCs w:val="16"/>
              </w:rPr>
            </w:pPr>
            <w:r w:rsidRPr="00A16AB8">
              <w:rPr>
                <w:sz w:val="16"/>
                <w:szCs w:val="16"/>
              </w:rPr>
              <w:t>0.574</w:t>
            </w:r>
          </w:p>
        </w:tc>
      </w:tr>
      <w:tr w:rsidR="00045D39" w14:paraId="16B45A86" w14:textId="77777777" w:rsidTr="00516F03">
        <w:trPr>
          <w:trHeight w:val="350"/>
        </w:trPr>
        <w:tc>
          <w:tcPr>
            <w:tcW w:w="1277" w:type="dxa"/>
          </w:tcPr>
          <w:p w14:paraId="2D1B0A58" w14:textId="77777777" w:rsidR="00045D39" w:rsidRPr="00EE022C" w:rsidRDefault="00045D39" w:rsidP="00516F03">
            <w:pPr>
              <w:jc w:val="left"/>
              <w:rPr>
                <w:sz w:val="16"/>
                <w:szCs w:val="16"/>
              </w:rPr>
            </w:pPr>
            <w:r w:rsidRPr="00EE022C">
              <w:rPr>
                <w:sz w:val="16"/>
                <w:szCs w:val="16"/>
              </w:rPr>
              <w:t>Hyper Tension</w:t>
            </w:r>
          </w:p>
        </w:tc>
        <w:tc>
          <w:tcPr>
            <w:tcW w:w="1122" w:type="dxa"/>
          </w:tcPr>
          <w:p w14:paraId="0168AC69" w14:textId="77777777" w:rsidR="00045D39" w:rsidRPr="00EE022C" w:rsidRDefault="00045D39" w:rsidP="008C1DD6">
            <w:pPr>
              <w:rPr>
                <w:sz w:val="16"/>
                <w:szCs w:val="16"/>
              </w:rPr>
            </w:pPr>
            <w:r>
              <w:rPr>
                <w:sz w:val="16"/>
                <w:szCs w:val="16"/>
              </w:rPr>
              <w:t>233</w:t>
            </w:r>
            <w:r w:rsidRPr="00EE022C">
              <w:rPr>
                <w:sz w:val="16"/>
                <w:szCs w:val="16"/>
              </w:rPr>
              <w:t>6 (37.2)</w:t>
            </w:r>
          </w:p>
        </w:tc>
        <w:tc>
          <w:tcPr>
            <w:tcW w:w="1291" w:type="dxa"/>
            <w:gridSpan w:val="2"/>
          </w:tcPr>
          <w:p w14:paraId="27AAF4D7" w14:textId="77777777" w:rsidR="00045D39" w:rsidRPr="00EE022C" w:rsidRDefault="00045D39" w:rsidP="008C1DD6">
            <w:pPr>
              <w:rPr>
                <w:sz w:val="16"/>
                <w:szCs w:val="16"/>
              </w:rPr>
            </w:pPr>
            <w:r>
              <w:rPr>
                <w:sz w:val="16"/>
                <w:szCs w:val="16"/>
              </w:rPr>
              <w:t>998</w:t>
            </w:r>
            <w:r w:rsidRPr="00EE022C">
              <w:rPr>
                <w:sz w:val="16"/>
                <w:szCs w:val="16"/>
              </w:rPr>
              <w:t xml:space="preserve"> (33.3)</w:t>
            </w:r>
          </w:p>
        </w:tc>
        <w:tc>
          <w:tcPr>
            <w:tcW w:w="1170" w:type="dxa"/>
          </w:tcPr>
          <w:p w14:paraId="647F948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0D71DBC5" w14:textId="77777777" w:rsidR="00045D39" w:rsidRPr="00A16AB8" w:rsidRDefault="00045D39" w:rsidP="008C1DD6">
            <w:pPr>
              <w:pStyle w:val="bullets"/>
              <w:rPr>
                <w:sz w:val="16"/>
                <w:szCs w:val="16"/>
              </w:rPr>
            </w:pPr>
            <w:r w:rsidRPr="00A16AB8">
              <w:rPr>
                <w:sz w:val="16"/>
                <w:szCs w:val="16"/>
              </w:rPr>
              <w:t>Hypertension</w:t>
            </w:r>
          </w:p>
        </w:tc>
        <w:tc>
          <w:tcPr>
            <w:tcW w:w="900" w:type="dxa"/>
            <w:tcBorders>
              <w:left w:val="single" w:sz="4" w:space="0" w:color="auto"/>
              <w:right w:val="single" w:sz="4" w:space="0" w:color="auto"/>
            </w:tcBorders>
          </w:tcPr>
          <w:p w14:paraId="6408D2C1" w14:textId="77777777" w:rsidR="00045D39" w:rsidRPr="00A16AB8" w:rsidRDefault="00045D39" w:rsidP="008C1DD6">
            <w:pPr>
              <w:pStyle w:val="bullets"/>
              <w:rPr>
                <w:sz w:val="16"/>
                <w:szCs w:val="16"/>
              </w:rPr>
            </w:pPr>
            <w:r w:rsidRPr="00A16AB8">
              <w:rPr>
                <w:sz w:val="16"/>
                <w:szCs w:val="16"/>
              </w:rPr>
              <w:t>745 (41.6)</w:t>
            </w:r>
          </w:p>
        </w:tc>
        <w:tc>
          <w:tcPr>
            <w:tcW w:w="1170" w:type="dxa"/>
            <w:tcBorders>
              <w:left w:val="single" w:sz="4" w:space="0" w:color="auto"/>
              <w:right w:val="single" w:sz="4" w:space="0" w:color="auto"/>
            </w:tcBorders>
          </w:tcPr>
          <w:p w14:paraId="418A2D2D" w14:textId="77777777" w:rsidR="00045D39" w:rsidRPr="00A16AB8" w:rsidRDefault="00045D39" w:rsidP="008C1DD6">
            <w:pPr>
              <w:pStyle w:val="bullets"/>
              <w:rPr>
                <w:sz w:val="16"/>
                <w:szCs w:val="16"/>
              </w:rPr>
            </w:pPr>
            <w:r w:rsidRPr="00A16AB8">
              <w:rPr>
                <w:sz w:val="16"/>
                <w:szCs w:val="16"/>
              </w:rPr>
              <w:t>567 (41.9)</w:t>
            </w:r>
          </w:p>
        </w:tc>
        <w:tc>
          <w:tcPr>
            <w:tcW w:w="900" w:type="dxa"/>
            <w:tcBorders>
              <w:left w:val="single" w:sz="4" w:space="0" w:color="auto"/>
              <w:right w:val="single" w:sz="4" w:space="0" w:color="auto"/>
            </w:tcBorders>
          </w:tcPr>
          <w:p w14:paraId="6CF3E2DF" w14:textId="77777777" w:rsidR="00045D39" w:rsidRPr="00A16AB8" w:rsidRDefault="00045D39" w:rsidP="008C1DD6">
            <w:pPr>
              <w:pStyle w:val="bullets"/>
              <w:rPr>
                <w:sz w:val="16"/>
                <w:szCs w:val="16"/>
              </w:rPr>
            </w:pPr>
            <w:r w:rsidRPr="00A16AB8">
              <w:rPr>
                <w:sz w:val="16"/>
                <w:szCs w:val="16"/>
              </w:rPr>
              <w:t>178 (40.5)</w:t>
            </w:r>
          </w:p>
        </w:tc>
        <w:tc>
          <w:tcPr>
            <w:tcW w:w="720" w:type="dxa"/>
            <w:gridSpan w:val="2"/>
            <w:tcBorders>
              <w:left w:val="single" w:sz="4" w:space="0" w:color="auto"/>
            </w:tcBorders>
          </w:tcPr>
          <w:p w14:paraId="635388CF" w14:textId="77777777" w:rsidR="00045D39" w:rsidRPr="00A16AB8" w:rsidRDefault="00045D39" w:rsidP="008C1DD6">
            <w:pPr>
              <w:pStyle w:val="bullets"/>
              <w:rPr>
                <w:sz w:val="16"/>
                <w:szCs w:val="16"/>
              </w:rPr>
            </w:pPr>
            <w:r w:rsidRPr="00A16AB8">
              <w:rPr>
                <w:sz w:val="16"/>
                <w:szCs w:val="16"/>
              </w:rPr>
              <w:t>0.655</w:t>
            </w:r>
          </w:p>
        </w:tc>
      </w:tr>
      <w:tr w:rsidR="00045D39" w14:paraId="387F9484" w14:textId="77777777" w:rsidTr="00516F03">
        <w:trPr>
          <w:trHeight w:val="77"/>
        </w:trPr>
        <w:tc>
          <w:tcPr>
            <w:tcW w:w="1277" w:type="dxa"/>
          </w:tcPr>
          <w:p w14:paraId="20017AAF" w14:textId="77777777" w:rsidR="00045D39" w:rsidRPr="00EE022C" w:rsidRDefault="00045D39" w:rsidP="00516F03">
            <w:pPr>
              <w:jc w:val="left"/>
              <w:rPr>
                <w:sz w:val="16"/>
                <w:szCs w:val="16"/>
              </w:rPr>
            </w:pPr>
            <w:r w:rsidRPr="00EE022C">
              <w:rPr>
                <w:sz w:val="16"/>
                <w:szCs w:val="16"/>
              </w:rPr>
              <w:t>Liver Functioning</w:t>
            </w:r>
          </w:p>
        </w:tc>
        <w:tc>
          <w:tcPr>
            <w:tcW w:w="1122" w:type="dxa"/>
          </w:tcPr>
          <w:p w14:paraId="73CC414C" w14:textId="77777777" w:rsidR="00045D39" w:rsidRPr="00EE022C" w:rsidRDefault="00045D39" w:rsidP="008C1DD6">
            <w:pPr>
              <w:rPr>
                <w:sz w:val="16"/>
                <w:szCs w:val="16"/>
              </w:rPr>
            </w:pPr>
            <w:r w:rsidRPr="00EE022C">
              <w:rPr>
                <w:sz w:val="16"/>
                <w:szCs w:val="16"/>
              </w:rPr>
              <w:t>4.50±0.30</w:t>
            </w:r>
          </w:p>
        </w:tc>
        <w:tc>
          <w:tcPr>
            <w:tcW w:w="1291" w:type="dxa"/>
            <w:gridSpan w:val="2"/>
          </w:tcPr>
          <w:p w14:paraId="7DF1E383" w14:textId="77777777" w:rsidR="00045D39" w:rsidRPr="00EE022C" w:rsidRDefault="00045D39" w:rsidP="008C1DD6">
            <w:pPr>
              <w:rPr>
                <w:sz w:val="16"/>
                <w:szCs w:val="16"/>
              </w:rPr>
            </w:pPr>
            <w:r w:rsidRPr="00EE022C">
              <w:rPr>
                <w:sz w:val="16"/>
                <w:szCs w:val="16"/>
              </w:rPr>
              <w:t>13.2±1.1</w:t>
            </w:r>
          </w:p>
        </w:tc>
        <w:tc>
          <w:tcPr>
            <w:tcW w:w="1170" w:type="dxa"/>
          </w:tcPr>
          <w:p w14:paraId="43B20FCD"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21150504" w14:textId="77777777" w:rsidR="00045D39" w:rsidRPr="00A16AB8" w:rsidRDefault="00045D39" w:rsidP="008C1DD6">
            <w:pPr>
              <w:pStyle w:val="bullets"/>
              <w:rPr>
                <w:sz w:val="16"/>
                <w:szCs w:val="16"/>
              </w:rPr>
            </w:pPr>
            <w:r w:rsidRPr="00A16AB8">
              <w:rPr>
                <w:sz w:val="16"/>
                <w:szCs w:val="16"/>
              </w:rPr>
              <w:t>Height (cm)</w:t>
            </w:r>
          </w:p>
        </w:tc>
        <w:tc>
          <w:tcPr>
            <w:tcW w:w="900" w:type="dxa"/>
            <w:tcBorders>
              <w:left w:val="single" w:sz="4" w:space="0" w:color="auto"/>
              <w:right w:val="single" w:sz="4" w:space="0" w:color="auto"/>
            </w:tcBorders>
          </w:tcPr>
          <w:p w14:paraId="3E6E2041" w14:textId="77777777" w:rsidR="00045D39" w:rsidRPr="00A16AB8" w:rsidRDefault="00045D39" w:rsidP="008C1DD6">
            <w:pPr>
              <w:pStyle w:val="bullets"/>
              <w:rPr>
                <w:sz w:val="16"/>
                <w:szCs w:val="16"/>
              </w:rPr>
            </w:pPr>
            <w:r w:rsidRPr="00A16AB8">
              <w:rPr>
                <w:sz w:val="16"/>
                <w:szCs w:val="16"/>
              </w:rPr>
              <w:t>154 (150–158)</w:t>
            </w:r>
          </w:p>
        </w:tc>
        <w:tc>
          <w:tcPr>
            <w:tcW w:w="1170" w:type="dxa"/>
            <w:tcBorders>
              <w:left w:val="single" w:sz="4" w:space="0" w:color="auto"/>
              <w:right w:val="single" w:sz="4" w:space="0" w:color="auto"/>
            </w:tcBorders>
          </w:tcPr>
          <w:p w14:paraId="21D82120" w14:textId="77777777" w:rsidR="00045D39" w:rsidRPr="00A16AB8" w:rsidRDefault="00045D39" w:rsidP="008C1DD6">
            <w:pPr>
              <w:pStyle w:val="bullets"/>
              <w:rPr>
                <w:sz w:val="16"/>
                <w:szCs w:val="16"/>
              </w:rPr>
            </w:pPr>
            <w:r w:rsidRPr="00A16AB8">
              <w:rPr>
                <w:sz w:val="16"/>
                <w:szCs w:val="16"/>
              </w:rPr>
              <w:t>153 (150–157)</w:t>
            </w:r>
          </w:p>
        </w:tc>
        <w:tc>
          <w:tcPr>
            <w:tcW w:w="900" w:type="dxa"/>
            <w:tcBorders>
              <w:left w:val="single" w:sz="4" w:space="0" w:color="auto"/>
              <w:right w:val="single" w:sz="4" w:space="0" w:color="auto"/>
            </w:tcBorders>
          </w:tcPr>
          <w:p w14:paraId="7B7B9559" w14:textId="77777777" w:rsidR="00045D39" w:rsidRPr="00A16AB8" w:rsidRDefault="00045D39" w:rsidP="008C1DD6">
            <w:pPr>
              <w:pStyle w:val="bullets"/>
              <w:rPr>
                <w:sz w:val="16"/>
                <w:szCs w:val="16"/>
              </w:rPr>
            </w:pPr>
            <w:r w:rsidRPr="00A16AB8">
              <w:rPr>
                <w:sz w:val="16"/>
                <w:szCs w:val="16"/>
              </w:rPr>
              <w:t>155 (151–158)</w:t>
            </w:r>
          </w:p>
        </w:tc>
        <w:tc>
          <w:tcPr>
            <w:tcW w:w="720" w:type="dxa"/>
            <w:gridSpan w:val="2"/>
            <w:tcBorders>
              <w:left w:val="single" w:sz="4" w:space="0" w:color="auto"/>
            </w:tcBorders>
          </w:tcPr>
          <w:p w14:paraId="4F1D7789" w14:textId="77777777" w:rsidR="00045D39" w:rsidRPr="00A16AB8" w:rsidRDefault="00045D39" w:rsidP="008C1DD6">
            <w:pPr>
              <w:pStyle w:val="bullets"/>
              <w:rPr>
                <w:sz w:val="16"/>
                <w:szCs w:val="16"/>
              </w:rPr>
            </w:pPr>
            <w:r w:rsidRPr="00A16AB8">
              <w:rPr>
                <w:sz w:val="16"/>
                <w:szCs w:val="16"/>
              </w:rPr>
              <w:t>&lt; 0.001</w:t>
            </w:r>
          </w:p>
        </w:tc>
      </w:tr>
      <w:tr w:rsidR="00045D39" w14:paraId="219BEE08" w14:textId="77777777" w:rsidTr="00516F03">
        <w:tc>
          <w:tcPr>
            <w:tcW w:w="1277" w:type="dxa"/>
          </w:tcPr>
          <w:p w14:paraId="11716C50" w14:textId="77777777" w:rsidR="00045D39" w:rsidRPr="00EE022C" w:rsidRDefault="00045D39" w:rsidP="00516F03">
            <w:pPr>
              <w:jc w:val="left"/>
              <w:rPr>
                <w:sz w:val="16"/>
                <w:szCs w:val="16"/>
              </w:rPr>
            </w:pPr>
            <w:r w:rsidRPr="00EE022C">
              <w:rPr>
                <w:sz w:val="16"/>
                <w:szCs w:val="16"/>
              </w:rPr>
              <w:t>Blood Test</w:t>
            </w:r>
          </w:p>
        </w:tc>
        <w:tc>
          <w:tcPr>
            <w:tcW w:w="1122" w:type="dxa"/>
          </w:tcPr>
          <w:p w14:paraId="4755032B" w14:textId="77777777" w:rsidR="00045D39" w:rsidRPr="00EE022C" w:rsidRDefault="00045D39" w:rsidP="008C1DD6">
            <w:pPr>
              <w:rPr>
                <w:sz w:val="16"/>
                <w:szCs w:val="16"/>
              </w:rPr>
            </w:pPr>
            <w:r w:rsidRPr="00EE022C">
              <w:rPr>
                <w:sz w:val="16"/>
                <w:szCs w:val="16"/>
              </w:rPr>
              <w:t>27.5±18.7</w:t>
            </w:r>
          </w:p>
        </w:tc>
        <w:tc>
          <w:tcPr>
            <w:tcW w:w="1291" w:type="dxa"/>
            <w:gridSpan w:val="2"/>
          </w:tcPr>
          <w:p w14:paraId="236754C0" w14:textId="77777777" w:rsidR="00045D39" w:rsidRPr="00EE022C" w:rsidRDefault="00045D39" w:rsidP="008C1DD6">
            <w:pPr>
              <w:rPr>
                <w:sz w:val="16"/>
                <w:szCs w:val="16"/>
              </w:rPr>
            </w:pPr>
            <w:r w:rsidRPr="00EE022C">
              <w:rPr>
                <w:sz w:val="16"/>
                <w:szCs w:val="16"/>
              </w:rPr>
              <w:t>24.4±16.6</w:t>
            </w:r>
          </w:p>
        </w:tc>
        <w:tc>
          <w:tcPr>
            <w:tcW w:w="1170" w:type="dxa"/>
          </w:tcPr>
          <w:p w14:paraId="4E2B1235"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65664787" w14:textId="77777777" w:rsidR="00045D39" w:rsidRPr="00A16AB8" w:rsidRDefault="00045D39" w:rsidP="008C1DD6">
            <w:pPr>
              <w:pStyle w:val="bullets"/>
              <w:rPr>
                <w:sz w:val="16"/>
                <w:szCs w:val="16"/>
              </w:rPr>
            </w:pPr>
            <w:r w:rsidRPr="00A16AB8">
              <w:rPr>
                <w:sz w:val="16"/>
                <w:szCs w:val="16"/>
              </w:rPr>
              <w:t>Weight (kg)</w:t>
            </w:r>
          </w:p>
        </w:tc>
        <w:tc>
          <w:tcPr>
            <w:tcW w:w="900" w:type="dxa"/>
            <w:tcBorders>
              <w:left w:val="single" w:sz="4" w:space="0" w:color="auto"/>
              <w:right w:val="single" w:sz="4" w:space="0" w:color="auto"/>
            </w:tcBorders>
          </w:tcPr>
          <w:p w14:paraId="1FD302CD" w14:textId="77777777" w:rsidR="00045D39" w:rsidRPr="00A16AB8" w:rsidRDefault="00045D39" w:rsidP="008C1DD6">
            <w:pPr>
              <w:pStyle w:val="bullets"/>
              <w:rPr>
                <w:sz w:val="16"/>
                <w:szCs w:val="16"/>
              </w:rPr>
            </w:pPr>
            <w:r w:rsidRPr="00A16AB8">
              <w:rPr>
                <w:sz w:val="16"/>
                <w:szCs w:val="16"/>
              </w:rPr>
              <w:t>57 (52–62)</w:t>
            </w:r>
          </w:p>
        </w:tc>
        <w:tc>
          <w:tcPr>
            <w:tcW w:w="1170" w:type="dxa"/>
            <w:tcBorders>
              <w:left w:val="single" w:sz="4" w:space="0" w:color="auto"/>
              <w:right w:val="single" w:sz="4" w:space="0" w:color="auto"/>
            </w:tcBorders>
          </w:tcPr>
          <w:p w14:paraId="7D1F3681" w14:textId="77777777" w:rsidR="00045D39" w:rsidRPr="00A16AB8" w:rsidRDefault="00045D39" w:rsidP="008C1DD6">
            <w:pPr>
              <w:pStyle w:val="bullets"/>
              <w:rPr>
                <w:sz w:val="16"/>
                <w:szCs w:val="16"/>
              </w:rPr>
            </w:pPr>
            <w:r w:rsidRPr="00A16AB8">
              <w:rPr>
                <w:sz w:val="16"/>
                <w:szCs w:val="16"/>
              </w:rPr>
              <w:t>56 (52–62)</w:t>
            </w:r>
          </w:p>
        </w:tc>
        <w:tc>
          <w:tcPr>
            <w:tcW w:w="900" w:type="dxa"/>
            <w:tcBorders>
              <w:left w:val="single" w:sz="4" w:space="0" w:color="auto"/>
              <w:right w:val="single" w:sz="4" w:space="0" w:color="auto"/>
            </w:tcBorders>
          </w:tcPr>
          <w:p w14:paraId="317AF05F" w14:textId="77777777" w:rsidR="00045D39" w:rsidRPr="00A16AB8" w:rsidRDefault="00045D39" w:rsidP="008C1DD6">
            <w:pPr>
              <w:pStyle w:val="bullets"/>
              <w:rPr>
                <w:sz w:val="16"/>
                <w:szCs w:val="16"/>
              </w:rPr>
            </w:pPr>
            <w:r w:rsidRPr="00A16AB8">
              <w:rPr>
                <w:sz w:val="16"/>
                <w:szCs w:val="16"/>
              </w:rPr>
              <w:t>58 (53–62)</w:t>
            </w:r>
          </w:p>
        </w:tc>
        <w:tc>
          <w:tcPr>
            <w:tcW w:w="720" w:type="dxa"/>
            <w:gridSpan w:val="2"/>
            <w:tcBorders>
              <w:left w:val="single" w:sz="4" w:space="0" w:color="auto"/>
            </w:tcBorders>
          </w:tcPr>
          <w:p w14:paraId="54642994" w14:textId="77777777" w:rsidR="00045D39" w:rsidRPr="00A16AB8" w:rsidRDefault="00045D39" w:rsidP="008C1DD6">
            <w:pPr>
              <w:pStyle w:val="bullets"/>
              <w:rPr>
                <w:sz w:val="16"/>
                <w:szCs w:val="16"/>
              </w:rPr>
            </w:pPr>
            <w:r w:rsidRPr="00A16AB8">
              <w:rPr>
                <w:sz w:val="16"/>
                <w:szCs w:val="16"/>
              </w:rPr>
              <w:t>0.070</w:t>
            </w:r>
          </w:p>
        </w:tc>
      </w:tr>
      <w:tr w:rsidR="00045D39" w14:paraId="590BD258" w14:textId="77777777" w:rsidTr="00516F03">
        <w:tc>
          <w:tcPr>
            <w:tcW w:w="1277" w:type="dxa"/>
          </w:tcPr>
          <w:p w14:paraId="76076585" w14:textId="77777777" w:rsidR="00045D39" w:rsidRPr="00EE022C" w:rsidRDefault="00045D39" w:rsidP="00516F03">
            <w:pPr>
              <w:jc w:val="left"/>
              <w:rPr>
                <w:sz w:val="16"/>
                <w:szCs w:val="16"/>
              </w:rPr>
            </w:pPr>
            <w:r w:rsidRPr="00EE022C">
              <w:rPr>
                <w:sz w:val="16"/>
                <w:szCs w:val="16"/>
              </w:rPr>
              <w:t>Protein In Blood</w:t>
            </w:r>
          </w:p>
        </w:tc>
        <w:tc>
          <w:tcPr>
            <w:tcW w:w="1122" w:type="dxa"/>
          </w:tcPr>
          <w:p w14:paraId="14CE9D80" w14:textId="77777777" w:rsidR="00045D39" w:rsidRPr="00EE022C" w:rsidRDefault="00045D39" w:rsidP="008C1DD6">
            <w:pPr>
              <w:rPr>
                <w:sz w:val="16"/>
                <w:szCs w:val="16"/>
              </w:rPr>
            </w:pPr>
            <w:r w:rsidRPr="00EE022C">
              <w:rPr>
                <w:sz w:val="16"/>
                <w:szCs w:val="16"/>
              </w:rPr>
              <w:t>55.1±16.4</w:t>
            </w:r>
          </w:p>
        </w:tc>
        <w:tc>
          <w:tcPr>
            <w:tcW w:w="1291" w:type="dxa"/>
            <w:gridSpan w:val="2"/>
          </w:tcPr>
          <w:p w14:paraId="557CE67B" w14:textId="77777777" w:rsidR="00045D39" w:rsidRPr="00EE022C" w:rsidRDefault="00045D39" w:rsidP="008C1DD6">
            <w:pPr>
              <w:rPr>
                <w:sz w:val="16"/>
                <w:szCs w:val="16"/>
              </w:rPr>
            </w:pPr>
            <w:r w:rsidRPr="00EE022C">
              <w:rPr>
                <w:sz w:val="16"/>
                <w:szCs w:val="16"/>
              </w:rPr>
              <w:t>61.78±1.57</w:t>
            </w:r>
          </w:p>
        </w:tc>
        <w:tc>
          <w:tcPr>
            <w:tcW w:w="1170" w:type="dxa"/>
          </w:tcPr>
          <w:p w14:paraId="33A2D241"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0868CBBA" w14:textId="77777777" w:rsidR="00045D39" w:rsidRPr="00A16AB8" w:rsidRDefault="00045D39" w:rsidP="008C1DD6">
            <w:pPr>
              <w:pStyle w:val="bullets"/>
              <w:rPr>
                <w:sz w:val="16"/>
                <w:szCs w:val="16"/>
              </w:rPr>
            </w:pPr>
            <w:r w:rsidRPr="00A16AB8">
              <w:rPr>
                <w:sz w:val="16"/>
                <w:szCs w:val="16"/>
              </w:rPr>
              <w:t>Waist circumference (cm)</w:t>
            </w:r>
          </w:p>
        </w:tc>
        <w:tc>
          <w:tcPr>
            <w:tcW w:w="900" w:type="dxa"/>
            <w:tcBorders>
              <w:left w:val="single" w:sz="4" w:space="0" w:color="auto"/>
              <w:right w:val="single" w:sz="4" w:space="0" w:color="auto"/>
            </w:tcBorders>
          </w:tcPr>
          <w:p w14:paraId="375C5651" w14:textId="77777777" w:rsidR="00045D39" w:rsidRPr="00A16AB8" w:rsidRDefault="00045D39" w:rsidP="008C1DD6">
            <w:pPr>
              <w:pStyle w:val="bullets"/>
              <w:rPr>
                <w:sz w:val="16"/>
                <w:szCs w:val="16"/>
              </w:rPr>
            </w:pPr>
            <w:r w:rsidRPr="00A16AB8">
              <w:rPr>
                <w:sz w:val="16"/>
                <w:szCs w:val="16"/>
              </w:rPr>
              <w:t>82 (76–88)</w:t>
            </w:r>
          </w:p>
        </w:tc>
        <w:tc>
          <w:tcPr>
            <w:tcW w:w="1170" w:type="dxa"/>
            <w:tcBorders>
              <w:left w:val="single" w:sz="4" w:space="0" w:color="auto"/>
              <w:right w:val="single" w:sz="4" w:space="0" w:color="auto"/>
            </w:tcBorders>
          </w:tcPr>
          <w:p w14:paraId="6C6840A8" w14:textId="77777777" w:rsidR="00045D39" w:rsidRPr="00A16AB8" w:rsidRDefault="00045D39" w:rsidP="008C1DD6">
            <w:pPr>
              <w:pStyle w:val="bullets"/>
              <w:rPr>
                <w:sz w:val="16"/>
                <w:szCs w:val="16"/>
              </w:rPr>
            </w:pPr>
            <w:r w:rsidRPr="00A16AB8">
              <w:rPr>
                <w:sz w:val="16"/>
                <w:szCs w:val="16"/>
              </w:rPr>
              <w:t>82 (76–88)</w:t>
            </w:r>
          </w:p>
        </w:tc>
        <w:tc>
          <w:tcPr>
            <w:tcW w:w="900" w:type="dxa"/>
            <w:tcBorders>
              <w:left w:val="single" w:sz="4" w:space="0" w:color="auto"/>
              <w:right w:val="single" w:sz="4" w:space="0" w:color="auto"/>
            </w:tcBorders>
          </w:tcPr>
          <w:p w14:paraId="7685680F" w14:textId="77777777" w:rsidR="00045D39" w:rsidRPr="00A16AB8" w:rsidRDefault="00045D39" w:rsidP="008C1DD6">
            <w:pPr>
              <w:pStyle w:val="bullets"/>
              <w:rPr>
                <w:sz w:val="16"/>
                <w:szCs w:val="16"/>
              </w:rPr>
            </w:pPr>
            <w:r w:rsidRPr="00A16AB8">
              <w:rPr>
                <w:sz w:val="16"/>
                <w:szCs w:val="16"/>
              </w:rPr>
              <w:t>83 (76–88)</w:t>
            </w:r>
          </w:p>
        </w:tc>
        <w:tc>
          <w:tcPr>
            <w:tcW w:w="720" w:type="dxa"/>
            <w:gridSpan w:val="2"/>
            <w:tcBorders>
              <w:left w:val="single" w:sz="4" w:space="0" w:color="auto"/>
            </w:tcBorders>
          </w:tcPr>
          <w:p w14:paraId="76F6118A" w14:textId="77777777" w:rsidR="00045D39" w:rsidRPr="00A16AB8" w:rsidRDefault="00045D39" w:rsidP="008C1DD6">
            <w:pPr>
              <w:pStyle w:val="bullets"/>
              <w:rPr>
                <w:sz w:val="16"/>
                <w:szCs w:val="16"/>
              </w:rPr>
            </w:pPr>
            <w:r w:rsidRPr="00A16AB8">
              <w:rPr>
                <w:sz w:val="16"/>
                <w:szCs w:val="16"/>
              </w:rPr>
              <w:t>0.310</w:t>
            </w:r>
          </w:p>
        </w:tc>
      </w:tr>
      <w:tr w:rsidR="00045D39" w14:paraId="1C8CF6ED" w14:textId="77777777" w:rsidTr="00516F03">
        <w:trPr>
          <w:trHeight w:val="458"/>
        </w:trPr>
        <w:tc>
          <w:tcPr>
            <w:tcW w:w="1277" w:type="dxa"/>
          </w:tcPr>
          <w:p w14:paraId="35915382" w14:textId="77777777" w:rsidR="00045D39" w:rsidRPr="00EE022C" w:rsidRDefault="00045D39" w:rsidP="00516F03">
            <w:pPr>
              <w:jc w:val="left"/>
              <w:rPr>
                <w:sz w:val="16"/>
                <w:szCs w:val="16"/>
              </w:rPr>
            </w:pPr>
            <w:r w:rsidRPr="00EE022C">
              <w:rPr>
                <w:sz w:val="16"/>
                <w:szCs w:val="16"/>
              </w:rPr>
              <w:t>Electrolytes</w:t>
            </w:r>
          </w:p>
        </w:tc>
        <w:tc>
          <w:tcPr>
            <w:tcW w:w="1122" w:type="dxa"/>
          </w:tcPr>
          <w:p w14:paraId="233D7E64" w14:textId="77777777" w:rsidR="00045D39" w:rsidRPr="00EE022C" w:rsidRDefault="00045D39" w:rsidP="008C1DD6">
            <w:pPr>
              <w:rPr>
                <w:sz w:val="16"/>
                <w:szCs w:val="16"/>
              </w:rPr>
            </w:pPr>
            <w:r w:rsidRPr="00EE022C">
              <w:rPr>
                <w:sz w:val="16"/>
                <w:szCs w:val="16"/>
              </w:rPr>
              <w:t>4.50±0.30</w:t>
            </w:r>
          </w:p>
        </w:tc>
        <w:tc>
          <w:tcPr>
            <w:tcW w:w="1291" w:type="dxa"/>
            <w:gridSpan w:val="2"/>
          </w:tcPr>
          <w:p w14:paraId="092685D8" w14:textId="77777777" w:rsidR="00045D39" w:rsidRPr="00EE022C" w:rsidRDefault="00045D39" w:rsidP="008C1DD6">
            <w:pPr>
              <w:rPr>
                <w:sz w:val="16"/>
                <w:szCs w:val="16"/>
              </w:rPr>
            </w:pPr>
            <w:r w:rsidRPr="00EE022C">
              <w:rPr>
                <w:sz w:val="16"/>
                <w:szCs w:val="16"/>
              </w:rPr>
              <w:t>13.2±1.1</w:t>
            </w:r>
          </w:p>
        </w:tc>
        <w:tc>
          <w:tcPr>
            <w:tcW w:w="1170" w:type="dxa"/>
          </w:tcPr>
          <w:p w14:paraId="25E955D5"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038EA639" w14:textId="77777777" w:rsidR="00045D39" w:rsidRPr="00A16AB8" w:rsidRDefault="00045D39" w:rsidP="008C1DD6">
            <w:pPr>
              <w:pStyle w:val="bullets"/>
              <w:rPr>
                <w:sz w:val="16"/>
                <w:szCs w:val="16"/>
              </w:rPr>
            </w:pPr>
            <w:r w:rsidRPr="00A16AB8">
              <w:rPr>
                <w:sz w:val="16"/>
                <w:szCs w:val="16"/>
              </w:rPr>
              <w:t>Pregnancy</w:t>
            </w:r>
          </w:p>
        </w:tc>
        <w:tc>
          <w:tcPr>
            <w:tcW w:w="900" w:type="dxa"/>
            <w:tcBorders>
              <w:left w:val="single" w:sz="4" w:space="0" w:color="auto"/>
              <w:right w:val="single" w:sz="4" w:space="0" w:color="auto"/>
            </w:tcBorders>
          </w:tcPr>
          <w:p w14:paraId="128B8405" w14:textId="77777777" w:rsidR="00045D39" w:rsidRPr="00A16AB8" w:rsidRDefault="00045D39" w:rsidP="008C1DD6">
            <w:pPr>
              <w:pStyle w:val="bullets"/>
              <w:rPr>
                <w:sz w:val="16"/>
                <w:szCs w:val="16"/>
              </w:rPr>
            </w:pPr>
            <w:r w:rsidRPr="00A16AB8">
              <w:rPr>
                <w:sz w:val="16"/>
                <w:szCs w:val="16"/>
              </w:rPr>
              <w:t>5 (3–6)</w:t>
            </w:r>
          </w:p>
        </w:tc>
        <w:tc>
          <w:tcPr>
            <w:tcW w:w="1170" w:type="dxa"/>
            <w:tcBorders>
              <w:left w:val="single" w:sz="4" w:space="0" w:color="auto"/>
              <w:right w:val="single" w:sz="4" w:space="0" w:color="auto"/>
            </w:tcBorders>
          </w:tcPr>
          <w:p w14:paraId="0D5466D9" w14:textId="77777777" w:rsidR="00045D39" w:rsidRPr="00A16AB8" w:rsidRDefault="00045D39" w:rsidP="008C1DD6">
            <w:pPr>
              <w:pStyle w:val="bullets"/>
              <w:rPr>
                <w:sz w:val="16"/>
                <w:szCs w:val="16"/>
              </w:rPr>
            </w:pPr>
            <w:r w:rsidRPr="00A16AB8">
              <w:rPr>
                <w:sz w:val="16"/>
                <w:szCs w:val="16"/>
              </w:rPr>
              <w:t>5 (3–6)</w:t>
            </w:r>
          </w:p>
        </w:tc>
        <w:tc>
          <w:tcPr>
            <w:tcW w:w="900" w:type="dxa"/>
            <w:tcBorders>
              <w:left w:val="single" w:sz="4" w:space="0" w:color="auto"/>
              <w:right w:val="single" w:sz="4" w:space="0" w:color="auto"/>
            </w:tcBorders>
          </w:tcPr>
          <w:p w14:paraId="79FA3AB1" w14:textId="77777777" w:rsidR="00045D39" w:rsidRPr="00A16AB8" w:rsidRDefault="00045D39" w:rsidP="008C1DD6">
            <w:pPr>
              <w:pStyle w:val="bullets"/>
              <w:rPr>
                <w:sz w:val="16"/>
                <w:szCs w:val="16"/>
              </w:rPr>
            </w:pPr>
            <w:r w:rsidRPr="00A16AB8">
              <w:rPr>
                <w:sz w:val="16"/>
                <w:szCs w:val="16"/>
              </w:rPr>
              <w:t>4 (3–6)</w:t>
            </w:r>
          </w:p>
        </w:tc>
        <w:tc>
          <w:tcPr>
            <w:tcW w:w="720" w:type="dxa"/>
            <w:gridSpan w:val="2"/>
            <w:tcBorders>
              <w:left w:val="single" w:sz="4" w:space="0" w:color="auto"/>
            </w:tcBorders>
          </w:tcPr>
          <w:p w14:paraId="0FAA8A6B" w14:textId="77777777" w:rsidR="00045D39" w:rsidRPr="00A16AB8" w:rsidRDefault="00045D39" w:rsidP="008C1DD6">
            <w:pPr>
              <w:pStyle w:val="bullets"/>
              <w:rPr>
                <w:sz w:val="16"/>
                <w:szCs w:val="16"/>
              </w:rPr>
            </w:pPr>
            <w:r w:rsidRPr="00A16AB8">
              <w:rPr>
                <w:sz w:val="16"/>
                <w:szCs w:val="16"/>
              </w:rPr>
              <w:t>0.358</w:t>
            </w:r>
          </w:p>
        </w:tc>
      </w:tr>
      <w:tr w:rsidR="00045D39" w14:paraId="271B025B" w14:textId="77777777" w:rsidTr="00516F03">
        <w:trPr>
          <w:trHeight w:val="530"/>
        </w:trPr>
        <w:tc>
          <w:tcPr>
            <w:tcW w:w="1277" w:type="dxa"/>
          </w:tcPr>
          <w:p w14:paraId="66E9A395" w14:textId="77777777" w:rsidR="00045D39" w:rsidRPr="00EE022C" w:rsidRDefault="00045D39" w:rsidP="00516F03">
            <w:pPr>
              <w:jc w:val="left"/>
              <w:rPr>
                <w:sz w:val="16"/>
                <w:szCs w:val="16"/>
              </w:rPr>
            </w:pPr>
            <w:r w:rsidRPr="00EE022C">
              <w:rPr>
                <w:sz w:val="16"/>
                <w:szCs w:val="16"/>
              </w:rPr>
              <w:t>Thyroid Function</w:t>
            </w:r>
          </w:p>
        </w:tc>
        <w:tc>
          <w:tcPr>
            <w:tcW w:w="1122" w:type="dxa"/>
          </w:tcPr>
          <w:p w14:paraId="2C3581E4" w14:textId="77777777" w:rsidR="00045D39" w:rsidRPr="00EE022C" w:rsidRDefault="00045D39" w:rsidP="008C1DD6">
            <w:pPr>
              <w:rPr>
                <w:sz w:val="16"/>
                <w:szCs w:val="16"/>
              </w:rPr>
            </w:pPr>
            <w:r w:rsidRPr="00EE022C">
              <w:rPr>
                <w:sz w:val="16"/>
                <w:szCs w:val="16"/>
              </w:rPr>
              <w:t>27.5±18.7</w:t>
            </w:r>
          </w:p>
        </w:tc>
        <w:tc>
          <w:tcPr>
            <w:tcW w:w="1291" w:type="dxa"/>
            <w:gridSpan w:val="2"/>
          </w:tcPr>
          <w:p w14:paraId="1BC4DDD9" w14:textId="77777777" w:rsidR="00045D39" w:rsidRPr="00EE022C" w:rsidRDefault="00045D39" w:rsidP="008C1DD6">
            <w:pPr>
              <w:rPr>
                <w:sz w:val="16"/>
                <w:szCs w:val="16"/>
              </w:rPr>
            </w:pPr>
            <w:r w:rsidRPr="00EE022C">
              <w:rPr>
                <w:sz w:val="16"/>
                <w:szCs w:val="16"/>
              </w:rPr>
              <w:t>24.4±16.6</w:t>
            </w:r>
          </w:p>
        </w:tc>
        <w:tc>
          <w:tcPr>
            <w:tcW w:w="1170" w:type="dxa"/>
          </w:tcPr>
          <w:p w14:paraId="6A7F9563"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B92E2B6" w14:textId="77777777" w:rsidR="00045D39" w:rsidRPr="00A16AB8" w:rsidRDefault="00045D39" w:rsidP="008C1DD6">
            <w:pPr>
              <w:pStyle w:val="bullets"/>
              <w:rPr>
                <w:sz w:val="16"/>
                <w:szCs w:val="16"/>
              </w:rPr>
            </w:pPr>
            <w:r w:rsidRPr="00A16AB8">
              <w:rPr>
                <w:sz w:val="16"/>
                <w:szCs w:val="16"/>
              </w:rPr>
              <w:t>Menopause duration</w:t>
            </w:r>
          </w:p>
        </w:tc>
        <w:tc>
          <w:tcPr>
            <w:tcW w:w="900" w:type="dxa"/>
            <w:tcBorders>
              <w:left w:val="single" w:sz="4" w:space="0" w:color="auto"/>
              <w:right w:val="single" w:sz="4" w:space="0" w:color="auto"/>
            </w:tcBorders>
          </w:tcPr>
          <w:p w14:paraId="0D10419A" w14:textId="77777777" w:rsidR="00045D39" w:rsidRPr="00A16AB8" w:rsidRDefault="00045D39" w:rsidP="008C1DD6">
            <w:pPr>
              <w:pStyle w:val="bullets"/>
              <w:rPr>
                <w:sz w:val="16"/>
                <w:szCs w:val="16"/>
              </w:rPr>
            </w:pPr>
            <w:r w:rsidRPr="00A16AB8">
              <w:rPr>
                <w:sz w:val="16"/>
                <w:szCs w:val="16"/>
              </w:rPr>
              <w:t>12.0 (5.0–21.0)</w:t>
            </w:r>
          </w:p>
        </w:tc>
        <w:tc>
          <w:tcPr>
            <w:tcW w:w="1170" w:type="dxa"/>
            <w:tcBorders>
              <w:left w:val="single" w:sz="4" w:space="0" w:color="auto"/>
              <w:right w:val="single" w:sz="4" w:space="0" w:color="auto"/>
            </w:tcBorders>
          </w:tcPr>
          <w:p w14:paraId="43B1707C" w14:textId="77777777" w:rsidR="00045D39" w:rsidRPr="00A16AB8" w:rsidRDefault="00045D39" w:rsidP="008C1DD6">
            <w:pPr>
              <w:pStyle w:val="bullets"/>
              <w:rPr>
                <w:sz w:val="16"/>
                <w:szCs w:val="16"/>
              </w:rPr>
            </w:pPr>
            <w:r w:rsidRPr="00A16AB8">
              <w:rPr>
                <w:sz w:val="16"/>
                <w:szCs w:val="16"/>
              </w:rPr>
              <w:t>13.0 (5.0–21.0)</w:t>
            </w:r>
          </w:p>
        </w:tc>
        <w:tc>
          <w:tcPr>
            <w:tcW w:w="900" w:type="dxa"/>
            <w:tcBorders>
              <w:left w:val="single" w:sz="4" w:space="0" w:color="auto"/>
              <w:right w:val="single" w:sz="4" w:space="0" w:color="auto"/>
            </w:tcBorders>
          </w:tcPr>
          <w:p w14:paraId="09352017" w14:textId="77777777" w:rsidR="00045D39" w:rsidRPr="00A16AB8" w:rsidRDefault="00045D39" w:rsidP="008C1DD6">
            <w:pPr>
              <w:pStyle w:val="bullets"/>
              <w:rPr>
                <w:sz w:val="16"/>
                <w:szCs w:val="16"/>
              </w:rPr>
            </w:pPr>
            <w:r w:rsidRPr="00A16AB8">
              <w:rPr>
                <w:sz w:val="16"/>
                <w:szCs w:val="16"/>
              </w:rPr>
              <w:t>12.0 (5.5–21.5)</w:t>
            </w:r>
          </w:p>
        </w:tc>
        <w:tc>
          <w:tcPr>
            <w:tcW w:w="720" w:type="dxa"/>
            <w:gridSpan w:val="2"/>
            <w:tcBorders>
              <w:left w:val="single" w:sz="4" w:space="0" w:color="auto"/>
            </w:tcBorders>
          </w:tcPr>
          <w:p w14:paraId="561CBA11" w14:textId="77777777" w:rsidR="00045D39" w:rsidRPr="00A16AB8" w:rsidRDefault="00045D39" w:rsidP="008C1DD6">
            <w:pPr>
              <w:pStyle w:val="bullets"/>
              <w:rPr>
                <w:sz w:val="16"/>
                <w:szCs w:val="16"/>
              </w:rPr>
            </w:pPr>
            <w:r w:rsidRPr="00A16AB8">
              <w:rPr>
                <w:sz w:val="16"/>
                <w:szCs w:val="16"/>
              </w:rPr>
              <w:t>0.746</w:t>
            </w:r>
          </w:p>
        </w:tc>
      </w:tr>
      <w:tr w:rsidR="00045D39" w14:paraId="437EDB45" w14:textId="77777777" w:rsidTr="00516F03">
        <w:trPr>
          <w:trHeight w:val="359"/>
        </w:trPr>
        <w:tc>
          <w:tcPr>
            <w:tcW w:w="1277" w:type="dxa"/>
          </w:tcPr>
          <w:p w14:paraId="52363147" w14:textId="77777777" w:rsidR="00045D39" w:rsidRPr="00EE022C" w:rsidRDefault="00045D39" w:rsidP="00516F03">
            <w:pPr>
              <w:jc w:val="left"/>
              <w:rPr>
                <w:sz w:val="16"/>
                <w:szCs w:val="16"/>
              </w:rPr>
            </w:pPr>
            <w:r w:rsidRPr="00EE022C">
              <w:rPr>
                <w:sz w:val="16"/>
                <w:szCs w:val="16"/>
              </w:rPr>
              <w:t>Body Height</w:t>
            </w:r>
          </w:p>
        </w:tc>
        <w:tc>
          <w:tcPr>
            <w:tcW w:w="1122" w:type="dxa"/>
          </w:tcPr>
          <w:p w14:paraId="040D50EE" w14:textId="77777777" w:rsidR="00045D39" w:rsidRPr="00EE022C" w:rsidRDefault="00045D39" w:rsidP="008C1DD6">
            <w:pPr>
              <w:rPr>
                <w:sz w:val="16"/>
                <w:szCs w:val="16"/>
              </w:rPr>
            </w:pPr>
            <w:r>
              <w:rPr>
                <w:sz w:val="16"/>
                <w:szCs w:val="16"/>
              </w:rPr>
              <w:t>17</w:t>
            </w:r>
            <w:r w:rsidRPr="00EE022C">
              <w:rPr>
                <w:sz w:val="16"/>
                <w:szCs w:val="16"/>
              </w:rPr>
              <w:t>1.8±8.4</w:t>
            </w:r>
          </w:p>
        </w:tc>
        <w:tc>
          <w:tcPr>
            <w:tcW w:w="1291" w:type="dxa"/>
            <w:gridSpan w:val="2"/>
          </w:tcPr>
          <w:p w14:paraId="0DE66FAA" w14:textId="77777777" w:rsidR="00045D39" w:rsidRPr="00EE022C" w:rsidRDefault="00045D39" w:rsidP="008C1DD6">
            <w:pPr>
              <w:rPr>
                <w:sz w:val="16"/>
                <w:szCs w:val="16"/>
              </w:rPr>
            </w:pPr>
            <w:r>
              <w:rPr>
                <w:sz w:val="16"/>
                <w:szCs w:val="16"/>
              </w:rPr>
              <w:t>16</w:t>
            </w:r>
            <w:r w:rsidRPr="00EE022C">
              <w:rPr>
                <w:sz w:val="16"/>
                <w:szCs w:val="16"/>
              </w:rPr>
              <w:t>5.7±5.5</w:t>
            </w:r>
          </w:p>
        </w:tc>
        <w:tc>
          <w:tcPr>
            <w:tcW w:w="1170" w:type="dxa"/>
          </w:tcPr>
          <w:p w14:paraId="5C567EE2"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7D4E91CB" w14:textId="77777777" w:rsidR="00045D39" w:rsidRPr="00A16AB8" w:rsidRDefault="00045D39" w:rsidP="008C1DD6">
            <w:pPr>
              <w:pStyle w:val="bullets"/>
              <w:rPr>
                <w:sz w:val="16"/>
                <w:szCs w:val="16"/>
              </w:rPr>
            </w:pPr>
            <w:r w:rsidRPr="00A16AB8">
              <w:rPr>
                <w:sz w:val="16"/>
                <w:szCs w:val="16"/>
              </w:rPr>
              <w:t xml:space="preserve">Osteoarthritis </w:t>
            </w:r>
          </w:p>
        </w:tc>
        <w:tc>
          <w:tcPr>
            <w:tcW w:w="900" w:type="dxa"/>
            <w:tcBorders>
              <w:left w:val="single" w:sz="4" w:space="0" w:color="auto"/>
              <w:right w:val="single" w:sz="4" w:space="0" w:color="auto"/>
            </w:tcBorders>
          </w:tcPr>
          <w:p w14:paraId="4A3C15F3" w14:textId="77777777" w:rsidR="00045D39" w:rsidRPr="00A16AB8" w:rsidRDefault="00045D39" w:rsidP="008C1DD6">
            <w:pPr>
              <w:pStyle w:val="bullets"/>
              <w:rPr>
                <w:sz w:val="16"/>
                <w:szCs w:val="16"/>
              </w:rPr>
            </w:pPr>
            <w:r w:rsidRPr="00A16AB8">
              <w:rPr>
                <w:sz w:val="16"/>
                <w:szCs w:val="16"/>
              </w:rPr>
              <w:t>566 (31.6)</w:t>
            </w:r>
          </w:p>
        </w:tc>
        <w:tc>
          <w:tcPr>
            <w:tcW w:w="1170" w:type="dxa"/>
            <w:tcBorders>
              <w:left w:val="single" w:sz="4" w:space="0" w:color="auto"/>
              <w:right w:val="single" w:sz="4" w:space="0" w:color="auto"/>
            </w:tcBorders>
          </w:tcPr>
          <w:p w14:paraId="7E22F932" w14:textId="77777777" w:rsidR="00045D39" w:rsidRPr="00A16AB8" w:rsidRDefault="00045D39" w:rsidP="008C1DD6">
            <w:pPr>
              <w:pStyle w:val="bullets"/>
              <w:rPr>
                <w:sz w:val="16"/>
                <w:szCs w:val="16"/>
              </w:rPr>
            </w:pPr>
            <w:r w:rsidRPr="00A16AB8">
              <w:rPr>
                <w:sz w:val="16"/>
                <w:szCs w:val="16"/>
              </w:rPr>
              <w:t>434 (32.1)</w:t>
            </w:r>
          </w:p>
        </w:tc>
        <w:tc>
          <w:tcPr>
            <w:tcW w:w="900" w:type="dxa"/>
            <w:tcBorders>
              <w:left w:val="single" w:sz="4" w:space="0" w:color="auto"/>
              <w:right w:val="single" w:sz="4" w:space="0" w:color="auto"/>
            </w:tcBorders>
          </w:tcPr>
          <w:p w14:paraId="1EBEDEEA" w14:textId="77777777" w:rsidR="00045D39" w:rsidRPr="00A16AB8" w:rsidRDefault="00045D39" w:rsidP="008C1DD6">
            <w:pPr>
              <w:pStyle w:val="bullets"/>
              <w:rPr>
                <w:sz w:val="16"/>
                <w:szCs w:val="16"/>
              </w:rPr>
            </w:pPr>
            <w:r w:rsidRPr="00A16AB8">
              <w:rPr>
                <w:sz w:val="16"/>
                <w:szCs w:val="16"/>
              </w:rPr>
              <w:t>132 (30.1)</w:t>
            </w:r>
          </w:p>
        </w:tc>
        <w:tc>
          <w:tcPr>
            <w:tcW w:w="720" w:type="dxa"/>
            <w:gridSpan w:val="2"/>
            <w:tcBorders>
              <w:left w:val="single" w:sz="4" w:space="0" w:color="auto"/>
            </w:tcBorders>
          </w:tcPr>
          <w:p w14:paraId="1B7A7247" w14:textId="77777777" w:rsidR="00045D39" w:rsidRPr="00A16AB8" w:rsidRDefault="00045D39" w:rsidP="008C1DD6">
            <w:pPr>
              <w:pStyle w:val="bullets"/>
              <w:rPr>
                <w:sz w:val="16"/>
                <w:szCs w:val="16"/>
              </w:rPr>
            </w:pPr>
            <w:r w:rsidRPr="00A16AB8">
              <w:rPr>
                <w:sz w:val="16"/>
                <w:szCs w:val="16"/>
              </w:rPr>
              <w:t>0.467</w:t>
            </w:r>
          </w:p>
        </w:tc>
      </w:tr>
      <w:tr w:rsidR="00045D39" w14:paraId="1F4F331B" w14:textId="77777777" w:rsidTr="00516F03">
        <w:tc>
          <w:tcPr>
            <w:tcW w:w="1277" w:type="dxa"/>
          </w:tcPr>
          <w:p w14:paraId="74AEB8DC" w14:textId="77777777" w:rsidR="00045D39" w:rsidRPr="00EE022C" w:rsidRDefault="00045D39" w:rsidP="00516F03">
            <w:pPr>
              <w:jc w:val="left"/>
              <w:rPr>
                <w:sz w:val="16"/>
                <w:szCs w:val="16"/>
              </w:rPr>
            </w:pPr>
            <w:r w:rsidRPr="00EE022C">
              <w:rPr>
                <w:sz w:val="16"/>
                <w:szCs w:val="16"/>
              </w:rPr>
              <w:t>Body Weight</w:t>
            </w:r>
          </w:p>
        </w:tc>
        <w:tc>
          <w:tcPr>
            <w:tcW w:w="1122" w:type="dxa"/>
          </w:tcPr>
          <w:p w14:paraId="6DF6C51B" w14:textId="77777777" w:rsidR="00045D39" w:rsidRPr="00EE022C" w:rsidRDefault="00045D39" w:rsidP="008C1DD6">
            <w:pPr>
              <w:rPr>
                <w:sz w:val="16"/>
                <w:szCs w:val="16"/>
              </w:rPr>
            </w:pPr>
            <w:r w:rsidRPr="00EE022C">
              <w:rPr>
                <w:sz w:val="16"/>
                <w:szCs w:val="16"/>
              </w:rPr>
              <w:t>63.5±11.7</w:t>
            </w:r>
          </w:p>
        </w:tc>
        <w:tc>
          <w:tcPr>
            <w:tcW w:w="1291" w:type="dxa"/>
            <w:gridSpan w:val="2"/>
          </w:tcPr>
          <w:p w14:paraId="2EF4A04F" w14:textId="77777777" w:rsidR="00045D39" w:rsidRPr="00EE022C" w:rsidRDefault="00045D39" w:rsidP="008C1DD6">
            <w:pPr>
              <w:rPr>
                <w:sz w:val="16"/>
                <w:szCs w:val="16"/>
              </w:rPr>
            </w:pPr>
            <w:r w:rsidRPr="00EE022C">
              <w:rPr>
                <w:sz w:val="16"/>
                <w:szCs w:val="16"/>
              </w:rPr>
              <w:t>56.9±9.2</w:t>
            </w:r>
          </w:p>
        </w:tc>
        <w:tc>
          <w:tcPr>
            <w:tcW w:w="1170" w:type="dxa"/>
          </w:tcPr>
          <w:p w14:paraId="79B6C825"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74291E49" w14:textId="77777777" w:rsidR="00045D39" w:rsidRPr="00A16AB8" w:rsidRDefault="00045D39" w:rsidP="008C1DD6">
            <w:pPr>
              <w:pStyle w:val="bullets"/>
              <w:rPr>
                <w:sz w:val="16"/>
                <w:szCs w:val="16"/>
              </w:rPr>
            </w:pPr>
            <w:r w:rsidRPr="00A16AB8">
              <w:rPr>
                <w:sz w:val="16"/>
                <w:szCs w:val="16"/>
              </w:rPr>
              <w:t>BMI</w:t>
            </w:r>
          </w:p>
        </w:tc>
        <w:tc>
          <w:tcPr>
            <w:tcW w:w="900" w:type="dxa"/>
            <w:tcBorders>
              <w:left w:val="single" w:sz="4" w:space="0" w:color="auto"/>
              <w:right w:val="single" w:sz="4" w:space="0" w:color="auto"/>
            </w:tcBorders>
          </w:tcPr>
          <w:p w14:paraId="687BD79E" w14:textId="77777777" w:rsidR="00045D39" w:rsidRPr="00A16AB8" w:rsidRDefault="00045D39" w:rsidP="008C1DD6">
            <w:pPr>
              <w:pStyle w:val="bullets"/>
              <w:rPr>
                <w:sz w:val="16"/>
                <w:szCs w:val="16"/>
              </w:rPr>
            </w:pPr>
            <w:r w:rsidRPr="00A16AB8">
              <w:rPr>
                <w:sz w:val="16"/>
                <w:szCs w:val="16"/>
              </w:rPr>
              <w:t>24.0 (22.1–26.2)</w:t>
            </w:r>
          </w:p>
        </w:tc>
        <w:tc>
          <w:tcPr>
            <w:tcW w:w="1170" w:type="dxa"/>
            <w:tcBorders>
              <w:left w:val="single" w:sz="4" w:space="0" w:color="auto"/>
              <w:right w:val="single" w:sz="4" w:space="0" w:color="auto"/>
            </w:tcBorders>
          </w:tcPr>
          <w:p w14:paraId="720BC766" w14:textId="77777777" w:rsidR="00045D39" w:rsidRPr="00A16AB8" w:rsidRDefault="00045D39" w:rsidP="008C1DD6">
            <w:pPr>
              <w:pStyle w:val="bullets"/>
              <w:rPr>
                <w:sz w:val="16"/>
                <w:szCs w:val="16"/>
              </w:rPr>
            </w:pPr>
            <w:r w:rsidRPr="00A16AB8">
              <w:rPr>
                <w:sz w:val="16"/>
                <w:szCs w:val="16"/>
              </w:rPr>
              <w:t>24.0 (22.1–26.2)</w:t>
            </w:r>
          </w:p>
        </w:tc>
        <w:tc>
          <w:tcPr>
            <w:tcW w:w="900" w:type="dxa"/>
            <w:tcBorders>
              <w:left w:val="single" w:sz="4" w:space="0" w:color="auto"/>
              <w:right w:val="single" w:sz="4" w:space="0" w:color="auto"/>
            </w:tcBorders>
          </w:tcPr>
          <w:p w14:paraId="48ED8FB0" w14:textId="77777777" w:rsidR="00045D39" w:rsidRPr="00A16AB8" w:rsidRDefault="00045D39" w:rsidP="008C1DD6">
            <w:pPr>
              <w:pStyle w:val="bullets"/>
              <w:rPr>
                <w:sz w:val="16"/>
                <w:szCs w:val="16"/>
              </w:rPr>
            </w:pPr>
            <w:r w:rsidRPr="00A16AB8">
              <w:rPr>
                <w:sz w:val="16"/>
                <w:szCs w:val="16"/>
              </w:rPr>
              <w:t>24.1 (22.0–26.2)</w:t>
            </w:r>
          </w:p>
        </w:tc>
        <w:tc>
          <w:tcPr>
            <w:tcW w:w="720" w:type="dxa"/>
            <w:gridSpan w:val="2"/>
            <w:tcBorders>
              <w:left w:val="single" w:sz="4" w:space="0" w:color="auto"/>
            </w:tcBorders>
          </w:tcPr>
          <w:p w14:paraId="5CAE21B0" w14:textId="77777777" w:rsidR="00045D39" w:rsidRPr="00A16AB8" w:rsidRDefault="00045D39" w:rsidP="008C1DD6">
            <w:pPr>
              <w:pStyle w:val="bullets"/>
              <w:rPr>
                <w:sz w:val="16"/>
                <w:szCs w:val="16"/>
              </w:rPr>
            </w:pPr>
            <w:r w:rsidRPr="00A16AB8">
              <w:rPr>
                <w:sz w:val="16"/>
                <w:szCs w:val="16"/>
              </w:rPr>
              <w:t>0.959</w:t>
            </w:r>
          </w:p>
        </w:tc>
      </w:tr>
      <w:tr w:rsidR="00045D39" w14:paraId="2B739E3C" w14:textId="77777777" w:rsidTr="00516F03">
        <w:tc>
          <w:tcPr>
            <w:tcW w:w="1277" w:type="dxa"/>
          </w:tcPr>
          <w:p w14:paraId="3C68684D" w14:textId="77777777" w:rsidR="00045D39" w:rsidRPr="00EE022C" w:rsidRDefault="00045D39" w:rsidP="00516F03">
            <w:pPr>
              <w:jc w:val="left"/>
              <w:rPr>
                <w:sz w:val="16"/>
                <w:szCs w:val="16"/>
              </w:rPr>
            </w:pPr>
            <w:r w:rsidRPr="00EE022C">
              <w:rPr>
                <w:sz w:val="16"/>
                <w:szCs w:val="16"/>
              </w:rPr>
              <w:t>Menopause</w:t>
            </w:r>
          </w:p>
        </w:tc>
        <w:tc>
          <w:tcPr>
            <w:tcW w:w="1122" w:type="dxa"/>
          </w:tcPr>
          <w:p w14:paraId="0C76357B" w14:textId="77777777" w:rsidR="00045D39" w:rsidRPr="00EE022C" w:rsidRDefault="00045D39" w:rsidP="008C1DD6">
            <w:pPr>
              <w:jc w:val="left"/>
              <w:rPr>
                <w:sz w:val="16"/>
                <w:szCs w:val="16"/>
              </w:rPr>
            </w:pPr>
            <w:r w:rsidRPr="00EE022C">
              <w:rPr>
                <w:sz w:val="16"/>
                <w:szCs w:val="16"/>
              </w:rPr>
              <w:t>2448 (83.6)</w:t>
            </w:r>
          </w:p>
        </w:tc>
        <w:tc>
          <w:tcPr>
            <w:tcW w:w="1291" w:type="dxa"/>
            <w:gridSpan w:val="2"/>
          </w:tcPr>
          <w:p w14:paraId="2DEE6B8D" w14:textId="77777777" w:rsidR="00045D39" w:rsidRPr="00EE022C" w:rsidRDefault="00045D39" w:rsidP="008C1DD6">
            <w:pPr>
              <w:rPr>
                <w:sz w:val="16"/>
                <w:szCs w:val="16"/>
              </w:rPr>
            </w:pPr>
            <w:r w:rsidRPr="00EE022C">
              <w:rPr>
                <w:sz w:val="16"/>
                <w:szCs w:val="16"/>
              </w:rPr>
              <w:t>2448 (83.6)</w:t>
            </w:r>
          </w:p>
        </w:tc>
        <w:tc>
          <w:tcPr>
            <w:tcW w:w="1170" w:type="dxa"/>
          </w:tcPr>
          <w:p w14:paraId="2EA0DF15"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6C9B00D1" w14:textId="77777777" w:rsidR="00045D39" w:rsidRPr="00A16AB8" w:rsidRDefault="00045D39" w:rsidP="008C1DD6">
            <w:pPr>
              <w:pStyle w:val="bullets"/>
              <w:rPr>
                <w:sz w:val="16"/>
                <w:szCs w:val="16"/>
              </w:rPr>
            </w:pPr>
            <w:r w:rsidRPr="00A16AB8">
              <w:rPr>
                <w:sz w:val="16"/>
                <w:szCs w:val="16"/>
              </w:rPr>
              <w:t>Physical activity (n)</w:t>
            </w:r>
          </w:p>
        </w:tc>
        <w:tc>
          <w:tcPr>
            <w:tcW w:w="900" w:type="dxa"/>
            <w:tcBorders>
              <w:left w:val="single" w:sz="4" w:space="0" w:color="auto"/>
              <w:right w:val="single" w:sz="4" w:space="0" w:color="auto"/>
            </w:tcBorders>
          </w:tcPr>
          <w:p w14:paraId="117B4A1D" w14:textId="77777777" w:rsidR="00045D39" w:rsidRPr="00A16AB8" w:rsidRDefault="00045D39" w:rsidP="008C1DD6">
            <w:pPr>
              <w:pStyle w:val="bullets"/>
              <w:rPr>
                <w:sz w:val="16"/>
                <w:szCs w:val="16"/>
              </w:rPr>
            </w:pPr>
            <w:r w:rsidRPr="00A16AB8">
              <w:rPr>
                <w:sz w:val="16"/>
                <w:szCs w:val="16"/>
              </w:rPr>
              <w:t>591 (33.0)</w:t>
            </w:r>
          </w:p>
        </w:tc>
        <w:tc>
          <w:tcPr>
            <w:tcW w:w="1170" w:type="dxa"/>
            <w:tcBorders>
              <w:left w:val="single" w:sz="4" w:space="0" w:color="auto"/>
              <w:right w:val="single" w:sz="4" w:space="0" w:color="auto"/>
            </w:tcBorders>
          </w:tcPr>
          <w:p w14:paraId="41D6FB80" w14:textId="77777777" w:rsidR="00045D39" w:rsidRPr="00A16AB8" w:rsidRDefault="00045D39" w:rsidP="008C1DD6">
            <w:pPr>
              <w:pStyle w:val="bullets"/>
              <w:rPr>
                <w:sz w:val="16"/>
                <w:szCs w:val="16"/>
              </w:rPr>
            </w:pPr>
            <w:r w:rsidRPr="00A16AB8">
              <w:rPr>
                <w:sz w:val="16"/>
                <w:szCs w:val="16"/>
              </w:rPr>
              <w:t>440 (32.5)</w:t>
            </w:r>
          </w:p>
        </w:tc>
        <w:tc>
          <w:tcPr>
            <w:tcW w:w="900" w:type="dxa"/>
            <w:tcBorders>
              <w:left w:val="single" w:sz="4" w:space="0" w:color="auto"/>
              <w:right w:val="single" w:sz="4" w:space="0" w:color="auto"/>
            </w:tcBorders>
          </w:tcPr>
          <w:p w14:paraId="6F7B237B" w14:textId="77777777" w:rsidR="00045D39" w:rsidRPr="00A16AB8" w:rsidRDefault="00045D39" w:rsidP="008C1DD6">
            <w:pPr>
              <w:pStyle w:val="bullets"/>
              <w:rPr>
                <w:sz w:val="16"/>
                <w:szCs w:val="16"/>
              </w:rPr>
            </w:pPr>
            <w:r w:rsidRPr="00A16AB8">
              <w:rPr>
                <w:sz w:val="16"/>
                <w:szCs w:val="16"/>
              </w:rPr>
              <w:t>151 (34.4)</w:t>
            </w:r>
          </w:p>
        </w:tc>
        <w:tc>
          <w:tcPr>
            <w:tcW w:w="720" w:type="dxa"/>
            <w:gridSpan w:val="2"/>
            <w:tcBorders>
              <w:left w:val="single" w:sz="4" w:space="0" w:color="auto"/>
            </w:tcBorders>
          </w:tcPr>
          <w:p w14:paraId="620D188C" w14:textId="77777777" w:rsidR="00045D39" w:rsidRPr="00A16AB8" w:rsidRDefault="00045D39" w:rsidP="008C1DD6">
            <w:pPr>
              <w:pStyle w:val="bullets"/>
              <w:rPr>
                <w:sz w:val="16"/>
                <w:szCs w:val="16"/>
              </w:rPr>
            </w:pPr>
            <w:r w:rsidRPr="00A16AB8">
              <w:rPr>
                <w:sz w:val="16"/>
                <w:szCs w:val="16"/>
              </w:rPr>
              <w:t>0.504</w:t>
            </w:r>
          </w:p>
        </w:tc>
      </w:tr>
      <w:tr w:rsidR="00045D39" w14:paraId="31CD44B1" w14:textId="77777777" w:rsidTr="00516F03">
        <w:trPr>
          <w:trHeight w:val="404"/>
        </w:trPr>
        <w:tc>
          <w:tcPr>
            <w:tcW w:w="1277" w:type="dxa"/>
          </w:tcPr>
          <w:p w14:paraId="0D8A2271" w14:textId="77777777" w:rsidR="00045D39" w:rsidRPr="00EE022C" w:rsidRDefault="00045D39" w:rsidP="00516F03">
            <w:pPr>
              <w:jc w:val="left"/>
              <w:rPr>
                <w:sz w:val="16"/>
                <w:szCs w:val="16"/>
              </w:rPr>
            </w:pPr>
            <w:r w:rsidRPr="00EE022C">
              <w:rPr>
                <w:sz w:val="16"/>
                <w:szCs w:val="16"/>
              </w:rPr>
              <w:t>HRT</w:t>
            </w:r>
          </w:p>
        </w:tc>
        <w:tc>
          <w:tcPr>
            <w:tcW w:w="1122" w:type="dxa"/>
          </w:tcPr>
          <w:p w14:paraId="0757F6D6" w14:textId="77777777" w:rsidR="00045D39" w:rsidRPr="00EE022C" w:rsidRDefault="00045D39" w:rsidP="008C1DD6">
            <w:pPr>
              <w:rPr>
                <w:sz w:val="16"/>
                <w:szCs w:val="16"/>
              </w:rPr>
            </w:pPr>
            <w:r>
              <w:rPr>
                <w:sz w:val="16"/>
                <w:szCs w:val="16"/>
              </w:rPr>
              <w:t>278</w:t>
            </w:r>
            <w:r w:rsidRPr="00EE022C">
              <w:rPr>
                <w:sz w:val="16"/>
                <w:szCs w:val="16"/>
              </w:rPr>
              <w:t xml:space="preserve"> (9.7)</w:t>
            </w:r>
          </w:p>
        </w:tc>
        <w:tc>
          <w:tcPr>
            <w:tcW w:w="1291" w:type="dxa"/>
            <w:gridSpan w:val="2"/>
          </w:tcPr>
          <w:p w14:paraId="54A5228B" w14:textId="77777777" w:rsidR="00045D39" w:rsidRPr="00EE022C" w:rsidRDefault="00045D39" w:rsidP="008C1DD6">
            <w:pPr>
              <w:rPr>
                <w:sz w:val="16"/>
                <w:szCs w:val="16"/>
              </w:rPr>
            </w:pPr>
            <w:r>
              <w:rPr>
                <w:sz w:val="16"/>
                <w:szCs w:val="16"/>
              </w:rPr>
              <w:t>278</w:t>
            </w:r>
            <w:r w:rsidRPr="00EE022C">
              <w:rPr>
                <w:sz w:val="16"/>
                <w:szCs w:val="16"/>
              </w:rPr>
              <w:t xml:space="preserve"> (9.7)</w:t>
            </w:r>
          </w:p>
        </w:tc>
        <w:tc>
          <w:tcPr>
            <w:tcW w:w="1170" w:type="dxa"/>
          </w:tcPr>
          <w:p w14:paraId="5E2B0E2E"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4CBD2D4" w14:textId="77777777" w:rsidR="00045D39" w:rsidRPr="00EE022C" w:rsidRDefault="00045D39" w:rsidP="008C1DD6">
            <w:pPr>
              <w:rPr>
                <w:sz w:val="16"/>
                <w:szCs w:val="16"/>
              </w:rPr>
            </w:pPr>
            <w:r>
              <w:rPr>
                <w:sz w:val="16"/>
                <w:szCs w:val="16"/>
              </w:rPr>
              <w:t>Past fractures</w:t>
            </w:r>
          </w:p>
        </w:tc>
        <w:tc>
          <w:tcPr>
            <w:tcW w:w="900" w:type="dxa"/>
            <w:tcBorders>
              <w:left w:val="single" w:sz="4" w:space="0" w:color="auto"/>
              <w:right w:val="single" w:sz="4" w:space="0" w:color="auto"/>
            </w:tcBorders>
          </w:tcPr>
          <w:p w14:paraId="0A63D9DF" w14:textId="77777777" w:rsidR="00045D39" w:rsidRPr="00EE022C" w:rsidRDefault="00045D39" w:rsidP="008C1DD6">
            <w:pPr>
              <w:rPr>
                <w:sz w:val="16"/>
                <w:szCs w:val="16"/>
              </w:rPr>
            </w:pPr>
            <w:r>
              <w:rPr>
                <w:sz w:val="16"/>
                <w:szCs w:val="16"/>
              </w:rPr>
              <w:t>264 (14.8</w:t>
            </w:r>
            <w:r w:rsidRPr="00F27DD9">
              <w:rPr>
                <w:sz w:val="16"/>
                <w:szCs w:val="16"/>
              </w:rPr>
              <w:t xml:space="preserve">) </w:t>
            </w:r>
          </w:p>
        </w:tc>
        <w:tc>
          <w:tcPr>
            <w:tcW w:w="1170" w:type="dxa"/>
            <w:tcBorders>
              <w:left w:val="single" w:sz="4" w:space="0" w:color="auto"/>
              <w:right w:val="single" w:sz="4" w:space="0" w:color="auto"/>
            </w:tcBorders>
          </w:tcPr>
          <w:p w14:paraId="33AA0519" w14:textId="77777777" w:rsidR="00045D39" w:rsidRPr="00EE022C" w:rsidRDefault="00045D39" w:rsidP="008C1DD6">
            <w:pPr>
              <w:rPr>
                <w:sz w:val="16"/>
                <w:szCs w:val="16"/>
              </w:rPr>
            </w:pPr>
            <w:r>
              <w:rPr>
                <w:sz w:val="16"/>
                <w:szCs w:val="16"/>
              </w:rPr>
              <w:t>202 (14.8</w:t>
            </w:r>
            <w:r w:rsidRPr="00F27DD9">
              <w:rPr>
                <w:sz w:val="16"/>
                <w:szCs w:val="16"/>
              </w:rPr>
              <w:t>)</w:t>
            </w:r>
          </w:p>
        </w:tc>
        <w:tc>
          <w:tcPr>
            <w:tcW w:w="900" w:type="dxa"/>
            <w:tcBorders>
              <w:left w:val="single" w:sz="4" w:space="0" w:color="auto"/>
              <w:right w:val="single" w:sz="4" w:space="0" w:color="auto"/>
            </w:tcBorders>
          </w:tcPr>
          <w:p w14:paraId="1C9255B1" w14:textId="77777777" w:rsidR="00045D39" w:rsidRPr="00EE022C" w:rsidRDefault="00045D39" w:rsidP="008C1DD6">
            <w:pPr>
              <w:rPr>
                <w:sz w:val="16"/>
                <w:szCs w:val="16"/>
              </w:rPr>
            </w:pPr>
            <w:r>
              <w:rPr>
                <w:sz w:val="16"/>
                <w:szCs w:val="16"/>
              </w:rPr>
              <w:t>63 (14.2</w:t>
            </w:r>
            <w:r w:rsidRPr="00F27DD9">
              <w:rPr>
                <w:sz w:val="16"/>
                <w:szCs w:val="16"/>
              </w:rPr>
              <w:t>)</w:t>
            </w:r>
          </w:p>
        </w:tc>
        <w:tc>
          <w:tcPr>
            <w:tcW w:w="720" w:type="dxa"/>
            <w:gridSpan w:val="2"/>
            <w:tcBorders>
              <w:left w:val="single" w:sz="4" w:space="0" w:color="auto"/>
            </w:tcBorders>
          </w:tcPr>
          <w:p w14:paraId="34EE3753" w14:textId="77777777" w:rsidR="00045D39" w:rsidRPr="00EE022C" w:rsidRDefault="00045D39" w:rsidP="008C1DD6">
            <w:pPr>
              <w:rPr>
                <w:sz w:val="16"/>
                <w:szCs w:val="16"/>
              </w:rPr>
            </w:pPr>
            <w:r w:rsidRPr="00F27DD9">
              <w:rPr>
                <w:sz w:val="16"/>
                <w:szCs w:val="16"/>
              </w:rPr>
              <w:t>0.7</w:t>
            </w:r>
            <w:r>
              <w:rPr>
                <w:sz w:val="16"/>
                <w:szCs w:val="16"/>
              </w:rPr>
              <w:t>70</w:t>
            </w:r>
          </w:p>
        </w:tc>
      </w:tr>
      <w:tr w:rsidR="00045D39" w14:paraId="11A09D33" w14:textId="77777777" w:rsidTr="00516F03">
        <w:trPr>
          <w:trHeight w:val="521"/>
        </w:trPr>
        <w:tc>
          <w:tcPr>
            <w:tcW w:w="1277" w:type="dxa"/>
          </w:tcPr>
          <w:p w14:paraId="2AD11677" w14:textId="77777777" w:rsidR="00045D39" w:rsidRPr="00EE022C" w:rsidRDefault="00045D39" w:rsidP="00516F03">
            <w:pPr>
              <w:jc w:val="left"/>
              <w:rPr>
                <w:sz w:val="16"/>
                <w:szCs w:val="16"/>
              </w:rPr>
            </w:pPr>
            <w:r w:rsidRPr="00EE022C">
              <w:rPr>
                <w:sz w:val="16"/>
                <w:szCs w:val="16"/>
              </w:rPr>
              <w:t>Waist circumference</w:t>
            </w:r>
          </w:p>
        </w:tc>
        <w:tc>
          <w:tcPr>
            <w:tcW w:w="1122" w:type="dxa"/>
          </w:tcPr>
          <w:p w14:paraId="325796BE" w14:textId="77777777" w:rsidR="00045D39" w:rsidRPr="00EE022C" w:rsidRDefault="00045D39" w:rsidP="008C1DD6">
            <w:pPr>
              <w:rPr>
                <w:sz w:val="16"/>
                <w:szCs w:val="16"/>
              </w:rPr>
            </w:pPr>
            <w:r w:rsidRPr="00EE022C">
              <w:rPr>
                <w:sz w:val="16"/>
                <w:szCs w:val="16"/>
              </w:rPr>
              <w:t>83.9±9.8</w:t>
            </w:r>
          </w:p>
        </w:tc>
        <w:tc>
          <w:tcPr>
            <w:tcW w:w="1291" w:type="dxa"/>
            <w:gridSpan w:val="2"/>
          </w:tcPr>
          <w:p w14:paraId="653EC3C0" w14:textId="77777777" w:rsidR="00045D39" w:rsidRPr="00EE022C" w:rsidRDefault="00045D39" w:rsidP="008C1DD6">
            <w:pPr>
              <w:rPr>
                <w:sz w:val="16"/>
                <w:szCs w:val="16"/>
              </w:rPr>
            </w:pPr>
            <w:r w:rsidRPr="00EE022C">
              <w:rPr>
                <w:sz w:val="16"/>
                <w:szCs w:val="16"/>
              </w:rPr>
              <w:t>79.9±9.5</w:t>
            </w:r>
          </w:p>
        </w:tc>
        <w:tc>
          <w:tcPr>
            <w:tcW w:w="1170" w:type="dxa"/>
          </w:tcPr>
          <w:p w14:paraId="33E8769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781A5086" w14:textId="77777777" w:rsidR="00045D39" w:rsidRPr="00EE022C" w:rsidRDefault="00045D39" w:rsidP="008C1DD6">
            <w:pPr>
              <w:rPr>
                <w:sz w:val="16"/>
                <w:szCs w:val="16"/>
              </w:rPr>
            </w:pPr>
            <w:r>
              <w:rPr>
                <w:sz w:val="16"/>
                <w:szCs w:val="16"/>
              </w:rPr>
              <w:t xml:space="preserve">Therapy of </w:t>
            </w:r>
            <w:r w:rsidRPr="001D7467">
              <w:rPr>
                <w:sz w:val="16"/>
                <w:szCs w:val="16"/>
              </w:rPr>
              <w:t xml:space="preserve">Estrogen </w:t>
            </w:r>
          </w:p>
        </w:tc>
        <w:tc>
          <w:tcPr>
            <w:tcW w:w="900" w:type="dxa"/>
            <w:tcBorders>
              <w:left w:val="single" w:sz="4" w:space="0" w:color="auto"/>
              <w:right w:val="single" w:sz="4" w:space="0" w:color="auto"/>
            </w:tcBorders>
          </w:tcPr>
          <w:p w14:paraId="2490246F" w14:textId="77777777" w:rsidR="00045D39" w:rsidRPr="00EE022C" w:rsidRDefault="00045D39" w:rsidP="008C1DD6">
            <w:pPr>
              <w:rPr>
                <w:sz w:val="16"/>
                <w:szCs w:val="16"/>
              </w:rPr>
            </w:pPr>
            <w:r>
              <w:rPr>
                <w:sz w:val="16"/>
                <w:szCs w:val="16"/>
              </w:rPr>
              <w:t>306</w:t>
            </w:r>
            <w:r w:rsidRPr="001D7467">
              <w:rPr>
                <w:sz w:val="16"/>
                <w:szCs w:val="16"/>
              </w:rPr>
              <w:t xml:space="preserve"> (17.0)</w:t>
            </w:r>
          </w:p>
        </w:tc>
        <w:tc>
          <w:tcPr>
            <w:tcW w:w="1170" w:type="dxa"/>
            <w:tcBorders>
              <w:left w:val="single" w:sz="4" w:space="0" w:color="auto"/>
              <w:right w:val="single" w:sz="4" w:space="0" w:color="auto"/>
            </w:tcBorders>
          </w:tcPr>
          <w:p w14:paraId="48D284A0" w14:textId="77777777" w:rsidR="00045D39" w:rsidRPr="00EE022C" w:rsidRDefault="00045D39" w:rsidP="008C1DD6">
            <w:pPr>
              <w:rPr>
                <w:sz w:val="16"/>
                <w:szCs w:val="16"/>
              </w:rPr>
            </w:pPr>
            <w:r>
              <w:rPr>
                <w:sz w:val="16"/>
                <w:szCs w:val="16"/>
              </w:rPr>
              <w:t>238 (17.6)</w:t>
            </w:r>
          </w:p>
        </w:tc>
        <w:tc>
          <w:tcPr>
            <w:tcW w:w="900" w:type="dxa"/>
            <w:tcBorders>
              <w:left w:val="single" w:sz="4" w:space="0" w:color="auto"/>
              <w:right w:val="single" w:sz="4" w:space="0" w:color="auto"/>
            </w:tcBorders>
          </w:tcPr>
          <w:p w14:paraId="4F36C0D8" w14:textId="77777777" w:rsidR="00045D39" w:rsidRPr="00EE022C" w:rsidRDefault="00045D39" w:rsidP="008C1DD6">
            <w:pPr>
              <w:rPr>
                <w:sz w:val="16"/>
                <w:szCs w:val="16"/>
              </w:rPr>
            </w:pPr>
            <w:r>
              <w:rPr>
                <w:sz w:val="16"/>
                <w:szCs w:val="16"/>
              </w:rPr>
              <w:t>69 (15.6</w:t>
            </w:r>
            <w:r w:rsidRPr="001D7467">
              <w:rPr>
                <w:sz w:val="16"/>
                <w:szCs w:val="16"/>
              </w:rPr>
              <w:t>)</w:t>
            </w:r>
          </w:p>
        </w:tc>
        <w:tc>
          <w:tcPr>
            <w:tcW w:w="720" w:type="dxa"/>
            <w:gridSpan w:val="2"/>
            <w:tcBorders>
              <w:left w:val="single" w:sz="4" w:space="0" w:color="auto"/>
            </w:tcBorders>
          </w:tcPr>
          <w:p w14:paraId="02910CB1" w14:textId="77777777" w:rsidR="00045D39" w:rsidRPr="00EE022C" w:rsidRDefault="00045D39" w:rsidP="008C1DD6">
            <w:pPr>
              <w:rPr>
                <w:sz w:val="16"/>
                <w:szCs w:val="16"/>
              </w:rPr>
            </w:pPr>
            <w:r w:rsidRPr="001D7467">
              <w:rPr>
                <w:sz w:val="16"/>
                <w:szCs w:val="16"/>
              </w:rPr>
              <w:t>0.36</w:t>
            </w:r>
            <w:r>
              <w:rPr>
                <w:sz w:val="16"/>
                <w:szCs w:val="16"/>
              </w:rPr>
              <w:t>4</w:t>
            </w:r>
          </w:p>
        </w:tc>
      </w:tr>
      <w:tr w:rsidR="00045D39" w14:paraId="67B9DA46" w14:textId="77777777" w:rsidTr="00516F03">
        <w:trPr>
          <w:trHeight w:val="359"/>
        </w:trPr>
        <w:tc>
          <w:tcPr>
            <w:tcW w:w="1277" w:type="dxa"/>
          </w:tcPr>
          <w:p w14:paraId="59BB582A" w14:textId="77777777" w:rsidR="00045D39" w:rsidRPr="00EE022C" w:rsidRDefault="00045D39" w:rsidP="00516F03">
            <w:pPr>
              <w:jc w:val="left"/>
              <w:rPr>
                <w:sz w:val="16"/>
                <w:szCs w:val="16"/>
              </w:rPr>
            </w:pPr>
            <w:r w:rsidRPr="00EE022C">
              <w:rPr>
                <w:sz w:val="16"/>
                <w:szCs w:val="16"/>
              </w:rPr>
              <w:t>Hemoglobin</w:t>
            </w:r>
          </w:p>
        </w:tc>
        <w:tc>
          <w:tcPr>
            <w:tcW w:w="1122" w:type="dxa"/>
          </w:tcPr>
          <w:p w14:paraId="03321B4D" w14:textId="77777777" w:rsidR="00045D39" w:rsidRPr="00EE022C" w:rsidRDefault="00045D39" w:rsidP="008C1DD6">
            <w:pPr>
              <w:rPr>
                <w:sz w:val="16"/>
                <w:szCs w:val="16"/>
              </w:rPr>
            </w:pPr>
            <w:r w:rsidRPr="00EE022C">
              <w:rPr>
                <w:sz w:val="16"/>
                <w:szCs w:val="16"/>
              </w:rPr>
              <w:t>14.1±1.4</w:t>
            </w:r>
          </w:p>
        </w:tc>
        <w:tc>
          <w:tcPr>
            <w:tcW w:w="1291" w:type="dxa"/>
            <w:gridSpan w:val="2"/>
          </w:tcPr>
          <w:p w14:paraId="344E1CDC" w14:textId="77777777" w:rsidR="00045D39" w:rsidRPr="00EE022C" w:rsidRDefault="00045D39" w:rsidP="008C1DD6">
            <w:pPr>
              <w:rPr>
                <w:sz w:val="16"/>
                <w:szCs w:val="16"/>
              </w:rPr>
            </w:pPr>
            <w:r w:rsidRPr="00EE022C">
              <w:rPr>
                <w:sz w:val="16"/>
                <w:szCs w:val="16"/>
              </w:rPr>
              <w:t>13.2±1.1</w:t>
            </w:r>
          </w:p>
        </w:tc>
        <w:tc>
          <w:tcPr>
            <w:tcW w:w="1170" w:type="dxa"/>
          </w:tcPr>
          <w:p w14:paraId="33B5ED21"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6556E739" w14:textId="77777777" w:rsidR="00045D39" w:rsidRDefault="00045D39" w:rsidP="008C1DD6">
            <w:pPr>
              <w:rPr>
                <w:sz w:val="16"/>
                <w:szCs w:val="16"/>
              </w:rPr>
            </w:pPr>
            <w:r w:rsidRPr="00306BA2">
              <w:rPr>
                <w:sz w:val="16"/>
                <w:szCs w:val="16"/>
              </w:rPr>
              <w:t xml:space="preserve">Hyperlipidemia </w:t>
            </w:r>
          </w:p>
        </w:tc>
        <w:tc>
          <w:tcPr>
            <w:tcW w:w="900" w:type="dxa"/>
            <w:tcBorders>
              <w:left w:val="single" w:sz="4" w:space="0" w:color="auto"/>
              <w:right w:val="single" w:sz="4" w:space="0" w:color="auto"/>
            </w:tcBorders>
          </w:tcPr>
          <w:p w14:paraId="51F1668C" w14:textId="77777777" w:rsidR="00045D39" w:rsidRDefault="00045D39" w:rsidP="008C1DD6">
            <w:pPr>
              <w:rPr>
                <w:sz w:val="16"/>
                <w:szCs w:val="16"/>
              </w:rPr>
            </w:pPr>
            <w:r>
              <w:rPr>
                <w:sz w:val="16"/>
                <w:szCs w:val="16"/>
              </w:rPr>
              <w:t>379 (21.0</w:t>
            </w:r>
            <w:r w:rsidRPr="00306BA2">
              <w:rPr>
                <w:sz w:val="16"/>
                <w:szCs w:val="16"/>
              </w:rPr>
              <w:t>)</w:t>
            </w:r>
          </w:p>
        </w:tc>
        <w:tc>
          <w:tcPr>
            <w:tcW w:w="1170" w:type="dxa"/>
            <w:tcBorders>
              <w:left w:val="single" w:sz="4" w:space="0" w:color="auto"/>
              <w:right w:val="single" w:sz="4" w:space="0" w:color="auto"/>
            </w:tcBorders>
          </w:tcPr>
          <w:p w14:paraId="34F7F7D4" w14:textId="77777777" w:rsidR="00045D39" w:rsidRDefault="00045D39" w:rsidP="008C1DD6">
            <w:pPr>
              <w:rPr>
                <w:sz w:val="16"/>
                <w:szCs w:val="16"/>
              </w:rPr>
            </w:pPr>
            <w:r>
              <w:rPr>
                <w:sz w:val="16"/>
                <w:szCs w:val="16"/>
              </w:rPr>
              <w:t>273 (20.2</w:t>
            </w:r>
            <w:r w:rsidRPr="00306BA2">
              <w:rPr>
                <w:sz w:val="16"/>
                <w:szCs w:val="16"/>
              </w:rPr>
              <w:t>)</w:t>
            </w:r>
          </w:p>
        </w:tc>
        <w:tc>
          <w:tcPr>
            <w:tcW w:w="900" w:type="dxa"/>
            <w:tcBorders>
              <w:left w:val="single" w:sz="4" w:space="0" w:color="auto"/>
              <w:right w:val="single" w:sz="4" w:space="0" w:color="auto"/>
            </w:tcBorders>
          </w:tcPr>
          <w:p w14:paraId="27EB5A3B" w14:textId="77777777" w:rsidR="00045D39" w:rsidRDefault="00045D39" w:rsidP="008C1DD6">
            <w:pPr>
              <w:rPr>
                <w:sz w:val="16"/>
                <w:szCs w:val="16"/>
              </w:rPr>
            </w:pPr>
            <w:r>
              <w:rPr>
                <w:sz w:val="16"/>
                <w:szCs w:val="16"/>
              </w:rPr>
              <w:t>104 (23.7</w:t>
            </w:r>
            <w:r w:rsidRPr="00306BA2">
              <w:rPr>
                <w:sz w:val="16"/>
                <w:szCs w:val="16"/>
              </w:rPr>
              <w:t>)</w:t>
            </w:r>
          </w:p>
        </w:tc>
        <w:tc>
          <w:tcPr>
            <w:tcW w:w="720" w:type="dxa"/>
            <w:gridSpan w:val="2"/>
            <w:tcBorders>
              <w:left w:val="single" w:sz="4" w:space="0" w:color="auto"/>
            </w:tcBorders>
          </w:tcPr>
          <w:p w14:paraId="0AF15796" w14:textId="77777777" w:rsidR="00045D39" w:rsidRDefault="00045D39" w:rsidP="008C1DD6">
            <w:pPr>
              <w:rPr>
                <w:sz w:val="16"/>
                <w:szCs w:val="16"/>
              </w:rPr>
            </w:pPr>
            <w:r w:rsidRPr="00306BA2">
              <w:rPr>
                <w:sz w:val="16"/>
                <w:szCs w:val="16"/>
              </w:rPr>
              <w:t>0.15</w:t>
            </w:r>
            <w:r>
              <w:rPr>
                <w:sz w:val="16"/>
                <w:szCs w:val="16"/>
              </w:rPr>
              <w:t>2</w:t>
            </w:r>
          </w:p>
        </w:tc>
      </w:tr>
      <w:tr w:rsidR="00045D39" w14:paraId="3C2F70F9" w14:textId="77777777" w:rsidTr="00516F03">
        <w:trPr>
          <w:trHeight w:val="530"/>
        </w:trPr>
        <w:tc>
          <w:tcPr>
            <w:tcW w:w="1277" w:type="dxa"/>
          </w:tcPr>
          <w:p w14:paraId="5FF7A5E4" w14:textId="77777777" w:rsidR="00045D39" w:rsidRPr="00EE022C" w:rsidRDefault="00045D39" w:rsidP="00516F03">
            <w:pPr>
              <w:jc w:val="left"/>
              <w:rPr>
                <w:sz w:val="16"/>
                <w:szCs w:val="16"/>
              </w:rPr>
            </w:pPr>
            <w:r w:rsidRPr="00EE022C">
              <w:rPr>
                <w:sz w:val="16"/>
                <w:szCs w:val="16"/>
              </w:rPr>
              <w:t>Parity</w:t>
            </w:r>
          </w:p>
        </w:tc>
        <w:tc>
          <w:tcPr>
            <w:tcW w:w="1122" w:type="dxa"/>
          </w:tcPr>
          <w:p w14:paraId="3AA3FC56" w14:textId="77777777" w:rsidR="00045D39" w:rsidRPr="00EE022C" w:rsidRDefault="00045D39" w:rsidP="008C1DD6">
            <w:pPr>
              <w:rPr>
                <w:sz w:val="16"/>
                <w:szCs w:val="16"/>
              </w:rPr>
            </w:pPr>
            <w:r>
              <w:rPr>
                <w:sz w:val="16"/>
                <w:szCs w:val="16"/>
              </w:rPr>
              <w:t>2.5±1.5</w:t>
            </w:r>
          </w:p>
        </w:tc>
        <w:tc>
          <w:tcPr>
            <w:tcW w:w="1291" w:type="dxa"/>
            <w:gridSpan w:val="2"/>
          </w:tcPr>
          <w:p w14:paraId="40144749" w14:textId="77777777" w:rsidR="00045D39" w:rsidRPr="00EE022C" w:rsidRDefault="00045D39" w:rsidP="008C1DD6">
            <w:pPr>
              <w:rPr>
                <w:sz w:val="16"/>
                <w:szCs w:val="16"/>
              </w:rPr>
            </w:pPr>
            <w:r w:rsidRPr="00EE022C">
              <w:rPr>
                <w:sz w:val="16"/>
                <w:szCs w:val="16"/>
              </w:rPr>
              <w:t>2.4±1.4</w:t>
            </w:r>
          </w:p>
        </w:tc>
        <w:tc>
          <w:tcPr>
            <w:tcW w:w="1170" w:type="dxa"/>
          </w:tcPr>
          <w:p w14:paraId="64FF7F6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8C781FD"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58D28C25"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20573AFD"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4D7EC3B1" w14:textId="77777777" w:rsidR="00045D39" w:rsidRPr="00EE022C" w:rsidRDefault="00045D39" w:rsidP="008C1DD6">
            <w:pPr>
              <w:rPr>
                <w:sz w:val="16"/>
                <w:szCs w:val="16"/>
              </w:rPr>
            </w:pPr>
          </w:p>
        </w:tc>
        <w:tc>
          <w:tcPr>
            <w:tcW w:w="720" w:type="dxa"/>
            <w:gridSpan w:val="2"/>
            <w:tcBorders>
              <w:left w:val="single" w:sz="4" w:space="0" w:color="auto"/>
            </w:tcBorders>
          </w:tcPr>
          <w:p w14:paraId="13263798" w14:textId="77777777" w:rsidR="00045D39" w:rsidRPr="00EE022C" w:rsidRDefault="00045D39" w:rsidP="008C1DD6">
            <w:pPr>
              <w:rPr>
                <w:sz w:val="16"/>
                <w:szCs w:val="16"/>
              </w:rPr>
            </w:pPr>
          </w:p>
        </w:tc>
      </w:tr>
      <w:tr w:rsidR="00045D39" w:rsidRPr="00853DA2" w14:paraId="20FBDB4F" w14:textId="77777777" w:rsidTr="00516F03">
        <w:trPr>
          <w:trHeight w:val="368"/>
        </w:trPr>
        <w:tc>
          <w:tcPr>
            <w:tcW w:w="4860" w:type="dxa"/>
            <w:gridSpan w:val="5"/>
          </w:tcPr>
          <w:p w14:paraId="030DE77D" w14:textId="77777777" w:rsidR="00045D39" w:rsidRPr="00EE022C" w:rsidRDefault="00045D39" w:rsidP="00516F03">
            <w:pPr>
              <w:jc w:val="left"/>
              <w:rPr>
                <w:b/>
                <w:sz w:val="16"/>
                <w:szCs w:val="16"/>
              </w:rPr>
            </w:pPr>
            <w:r w:rsidRPr="00EE022C">
              <w:rPr>
                <w:b/>
                <w:sz w:val="16"/>
                <w:szCs w:val="16"/>
              </w:rPr>
              <w:t>Results</w:t>
            </w:r>
          </w:p>
        </w:tc>
        <w:tc>
          <w:tcPr>
            <w:tcW w:w="4950" w:type="dxa"/>
            <w:gridSpan w:val="6"/>
          </w:tcPr>
          <w:p w14:paraId="47765085" w14:textId="77777777" w:rsidR="00045D39" w:rsidRPr="00EE022C" w:rsidRDefault="00045D39" w:rsidP="008C1DD6">
            <w:pPr>
              <w:jc w:val="left"/>
              <w:rPr>
                <w:b/>
                <w:sz w:val="16"/>
                <w:szCs w:val="16"/>
              </w:rPr>
            </w:pPr>
            <w:r>
              <w:rPr>
                <w:b/>
                <w:sz w:val="16"/>
                <w:szCs w:val="16"/>
              </w:rPr>
              <w:t>Results</w:t>
            </w:r>
          </w:p>
        </w:tc>
      </w:tr>
      <w:tr w:rsidR="00045D39" w:rsidRPr="00511FA5" w14:paraId="30C7406B" w14:textId="77777777" w:rsidTr="00516F03">
        <w:trPr>
          <w:trHeight w:val="521"/>
        </w:trPr>
        <w:tc>
          <w:tcPr>
            <w:tcW w:w="1277" w:type="dxa"/>
          </w:tcPr>
          <w:p w14:paraId="791919C5" w14:textId="77777777" w:rsidR="00045D39" w:rsidRPr="00EE022C" w:rsidRDefault="00045D39" w:rsidP="00516F03">
            <w:pPr>
              <w:jc w:val="left"/>
              <w:rPr>
                <w:sz w:val="16"/>
                <w:szCs w:val="16"/>
              </w:rPr>
            </w:pPr>
            <w:r w:rsidRPr="00EE022C">
              <w:rPr>
                <w:sz w:val="16"/>
                <w:szCs w:val="16"/>
              </w:rPr>
              <w:t xml:space="preserve">Normal (n, %) </w:t>
            </w:r>
          </w:p>
        </w:tc>
        <w:tc>
          <w:tcPr>
            <w:tcW w:w="1122" w:type="dxa"/>
          </w:tcPr>
          <w:p w14:paraId="52FEA3FC" w14:textId="77777777" w:rsidR="00045D39" w:rsidRPr="00EE022C" w:rsidRDefault="00045D39" w:rsidP="008C1DD6">
            <w:pPr>
              <w:rPr>
                <w:sz w:val="16"/>
                <w:szCs w:val="16"/>
              </w:rPr>
            </w:pPr>
            <w:r w:rsidRPr="00EE022C">
              <w:rPr>
                <w:sz w:val="16"/>
                <w:szCs w:val="16"/>
              </w:rPr>
              <w:t>3058 (51.1)</w:t>
            </w:r>
          </w:p>
        </w:tc>
        <w:tc>
          <w:tcPr>
            <w:tcW w:w="1189" w:type="dxa"/>
          </w:tcPr>
          <w:p w14:paraId="0DE5D97C" w14:textId="77777777" w:rsidR="00045D39" w:rsidRPr="00EE022C" w:rsidRDefault="00045D39" w:rsidP="008C1DD6">
            <w:pPr>
              <w:rPr>
                <w:sz w:val="16"/>
                <w:szCs w:val="16"/>
              </w:rPr>
            </w:pPr>
            <w:r w:rsidRPr="00EE022C">
              <w:rPr>
                <w:sz w:val="16"/>
                <w:szCs w:val="16"/>
              </w:rPr>
              <w:t>1256 (42.9)</w:t>
            </w:r>
          </w:p>
        </w:tc>
        <w:tc>
          <w:tcPr>
            <w:tcW w:w="1272" w:type="dxa"/>
            <w:gridSpan w:val="2"/>
          </w:tcPr>
          <w:p w14:paraId="45D522D8" w14:textId="77777777" w:rsidR="00045D39" w:rsidRPr="00EE022C" w:rsidRDefault="00045D39" w:rsidP="008C1DD6">
            <w:pPr>
              <w:rPr>
                <w:sz w:val="16"/>
                <w:szCs w:val="16"/>
              </w:rPr>
            </w:pPr>
          </w:p>
        </w:tc>
        <w:tc>
          <w:tcPr>
            <w:tcW w:w="1260" w:type="dxa"/>
            <w:tcBorders>
              <w:right w:val="single" w:sz="4" w:space="0" w:color="auto"/>
            </w:tcBorders>
          </w:tcPr>
          <w:p w14:paraId="1CA6862C"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3B760753"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3A03BD9D" w14:textId="77777777" w:rsidR="00045D39" w:rsidRPr="00EE022C" w:rsidRDefault="00045D39" w:rsidP="008C1DD6">
            <w:pPr>
              <w:rPr>
                <w:sz w:val="16"/>
                <w:szCs w:val="16"/>
              </w:rPr>
            </w:pPr>
          </w:p>
        </w:tc>
        <w:tc>
          <w:tcPr>
            <w:tcW w:w="1620" w:type="dxa"/>
            <w:gridSpan w:val="3"/>
            <w:tcBorders>
              <w:left w:val="single" w:sz="4" w:space="0" w:color="auto"/>
            </w:tcBorders>
          </w:tcPr>
          <w:p w14:paraId="3C8E0E4C" w14:textId="77777777" w:rsidR="00045D39" w:rsidRPr="00EE022C" w:rsidRDefault="00045D39" w:rsidP="008C1DD6">
            <w:pPr>
              <w:rPr>
                <w:sz w:val="16"/>
                <w:szCs w:val="16"/>
              </w:rPr>
            </w:pPr>
          </w:p>
        </w:tc>
      </w:tr>
      <w:tr w:rsidR="00045D39" w:rsidRPr="00511FA5" w14:paraId="4A8B7782" w14:textId="77777777" w:rsidTr="00516F03">
        <w:trPr>
          <w:trHeight w:val="602"/>
        </w:trPr>
        <w:tc>
          <w:tcPr>
            <w:tcW w:w="1277" w:type="dxa"/>
          </w:tcPr>
          <w:p w14:paraId="66FF154C" w14:textId="77777777" w:rsidR="00045D39" w:rsidRPr="00EE022C" w:rsidRDefault="00045D39" w:rsidP="00516F03">
            <w:pPr>
              <w:jc w:val="left"/>
              <w:rPr>
                <w:sz w:val="16"/>
                <w:szCs w:val="16"/>
              </w:rPr>
            </w:pPr>
            <w:r w:rsidRPr="00EE022C">
              <w:rPr>
                <w:sz w:val="16"/>
                <w:szCs w:val="16"/>
              </w:rPr>
              <w:t xml:space="preserve">Osteopenia (n, %) </w:t>
            </w:r>
          </w:p>
        </w:tc>
        <w:tc>
          <w:tcPr>
            <w:tcW w:w="1122" w:type="dxa"/>
          </w:tcPr>
          <w:p w14:paraId="62E0E8F0" w14:textId="77777777" w:rsidR="00045D39" w:rsidRPr="00EE022C" w:rsidRDefault="00045D39" w:rsidP="008C1DD6">
            <w:pPr>
              <w:rPr>
                <w:sz w:val="16"/>
                <w:szCs w:val="16"/>
              </w:rPr>
            </w:pPr>
            <w:r w:rsidRPr="00EE022C">
              <w:rPr>
                <w:sz w:val="16"/>
                <w:szCs w:val="16"/>
              </w:rPr>
              <w:t>1369 (46.7)</w:t>
            </w:r>
          </w:p>
        </w:tc>
        <w:tc>
          <w:tcPr>
            <w:tcW w:w="1189" w:type="dxa"/>
          </w:tcPr>
          <w:p w14:paraId="69552157" w14:textId="77777777" w:rsidR="00045D39" w:rsidRPr="00EE022C" w:rsidRDefault="00045D39" w:rsidP="008C1DD6">
            <w:pPr>
              <w:rPr>
                <w:sz w:val="16"/>
                <w:szCs w:val="16"/>
              </w:rPr>
            </w:pPr>
            <w:r w:rsidRPr="00EE022C">
              <w:rPr>
                <w:sz w:val="16"/>
                <w:szCs w:val="16"/>
              </w:rPr>
              <w:t>1369 (46.7)</w:t>
            </w:r>
          </w:p>
        </w:tc>
        <w:tc>
          <w:tcPr>
            <w:tcW w:w="1272" w:type="dxa"/>
            <w:gridSpan w:val="2"/>
          </w:tcPr>
          <w:p w14:paraId="01ED04DD" w14:textId="77777777" w:rsidR="00045D39" w:rsidRPr="00EE022C" w:rsidRDefault="00045D39" w:rsidP="008C1DD6">
            <w:pPr>
              <w:rPr>
                <w:sz w:val="16"/>
                <w:szCs w:val="16"/>
              </w:rPr>
            </w:pPr>
          </w:p>
        </w:tc>
        <w:tc>
          <w:tcPr>
            <w:tcW w:w="1260" w:type="dxa"/>
            <w:tcBorders>
              <w:right w:val="single" w:sz="4" w:space="0" w:color="auto"/>
            </w:tcBorders>
          </w:tcPr>
          <w:p w14:paraId="7CE0483B"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433FF73F"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07FD0761" w14:textId="77777777" w:rsidR="00045D39" w:rsidRPr="00EE022C" w:rsidRDefault="00045D39" w:rsidP="008C1DD6">
            <w:pPr>
              <w:rPr>
                <w:sz w:val="16"/>
                <w:szCs w:val="16"/>
              </w:rPr>
            </w:pPr>
          </w:p>
        </w:tc>
        <w:tc>
          <w:tcPr>
            <w:tcW w:w="1620" w:type="dxa"/>
            <w:gridSpan w:val="3"/>
            <w:tcBorders>
              <w:left w:val="single" w:sz="4" w:space="0" w:color="auto"/>
            </w:tcBorders>
          </w:tcPr>
          <w:p w14:paraId="1110BF66" w14:textId="77777777" w:rsidR="00045D39" w:rsidRPr="00EE022C" w:rsidRDefault="00045D39" w:rsidP="008C1DD6">
            <w:pPr>
              <w:rPr>
                <w:sz w:val="16"/>
                <w:szCs w:val="16"/>
              </w:rPr>
            </w:pPr>
          </w:p>
        </w:tc>
      </w:tr>
      <w:tr w:rsidR="00045D39" w:rsidRPr="00511FA5" w14:paraId="2C6AD396" w14:textId="77777777" w:rsidTr="00516F03">
        <w:trPr>
          <w:trHeight w:val="674"/>
        </w:trPr>
        <w:tc>
          <w:tcPr>
            <w:tcW w:w="1277" w:type="dxa"/>
          </w:tcPr>
          <w:p w14:paraId="63748CB1" w14:textId="77777777" w:rsidR="00045D39" w:rsidRPr="00EE022C" w:rsidRDefault="00045D39" w:rsidP="00516F03">
            <w:pPr>
              <w:jc w:val="left"/>
              <w:rPr>
                <w:sz w:val="16"/>
                <w:szCs w:val="16"/>
              </w:rPr>
            </w:pPr>
            <w:r w:rsidRPr="00EE022C">
              <w:rPr>
                <w:sz w:val="16"/>
                <w:szCs w:val="16"/>
              </w:rPr>
              <w:t xml:space="preserve">Osteoporosis (n, %) </w:t>
            </w:r>
          </w:p>
        </w:tc>
        <w:tc>
          <w:tcPr>
            <w:tcW w:w="1122" w:type="dxa"/>
          </w:tcPr>
          <w:p w14:paraId="094653AC" w14:textId="77777777" w:rsidR="00045D39" w:rsidRPr="00EE022C" w:rsidRDefault="00045D39" w:rsidP="008C1DD6">
            <w:pPr>
              <w:rPr>
                <w:sz w:val="16"/>
                <w:szCs w:val="16"/>
              </w:rPr>
            </w:pPr>
            <w:r w:rsidRPr="00EE022C">
              <w:rPr>
                <w:sz w:val="16"/>
                <w:szCs w:val="16"/>
              </w:rPr>
              <w:t xml:space="preserve">421 (7.0) </w:t>
            </w:r>
          </w:p>
        </w:tc>
        <w:tc>
          <w:tcPr>
            <w:tcW w:w="1189" w:type="dxa"/>
          </w:tcPr>
          <w:p w14:paraId="6A049A24" w14:textId="77777777" w:rsidR="00045D39" w:rsidRPr="00EE022C" w:rsidRDefault="00045D39" w:rsidP="008C1DD6">
            <w:pPr>
              <w:rPr>
                <w:sz w:val="16"/>
                <w:szCs w:val="16"/>
              </w:rPr>
            </w:pPr>
            <w:r w:rsidRPr="00EE022C">
              <w:rPr>
                <w:sz w:val="16"/>
                <w:szCs w:val="16"/>
              </w:rPr>
              <w:t>304 (10.4)</w:t>
            </w:r>
          </w:p>
        </w:tc>
        <w:tc>
          <w:tcPr>
            <w:tcW w:w="1272" w:type="dxa"/>
            <w:gridSpan w:val="2"/>
          </w:tcPr>
          <w:p w14:paraId="4D9A3ACF" w14:textId="77777777" w:rsidR="00045D39" w:rsidRPr="00EE022C" w:rsidRDefault="00045D39" w:rsidP="008C1DD6">
            <w:pPr>
              <w:rPr>
                <w:sz w:val="16"/>
                <w:szCs w:val="16"/>
              </w:rPr>
            </w:pPr>
          </w:p>
        </w:tc>
        <w:tc>
          <w:tcPr>
            <w:tcW w:w="1260" w:type="dxa"/>
            <w:tcBorders>
              <w:right w:val="single" w:sz="4" w:space="0" w:color="auto"/>
            </w:tcBorders>
          </w:tcPr>
          <w:p w14:paraId="30CEE7F9" w14:textId="77777777" w:rsidR="00045D39" w:rsidRPr="00A16AB8" w:rsidRDefault="00045D39" w:rsidP="008C1DD6">
            <w:pPr>
              <w:pStyle w:val="bullets"/>
              <w:rPr>
                <w:sz w:val="16"/>
                <w:szCs w:val="16"/>
              </w:rPr>
            </w:pPr>
            <w:r w:rsidRPr="00A16AB8">
              <w:rPr>
                <w:sz w:val="16"/>
                <w:szCs w:val="16"/>
              </w:rPr>
              <w:t>Osteoporosis</w:t>
            </w:r>
          </w:p>
        </w:tc>
        <w:tc>
          <w:tcPr>
            <w:tcW w:w="900" w:type="dxa"/>
            <w:tcBorders>
              <w:left w:val="single" w:sz="4" w:space="0" w:color="auto"/>
              <w:right w:val="single" w:sz="4" w:space="0" w:color="auto"/>
            </w:tcBorders>
          </w:tcPr>
          <w:p w14:paraId="0CA60DF5" w14:textId="77777777" w:rsidR="00045D39" w:rsidRPr="00A16AB8" w:rsidRDefault="00045D39" w:rsidP="008C1DD6">
            <w:pPr>
              <w:pStyle w:val="bullets"/>
              <w:rPr>
                <w:sz w:val="16"/>
                <w:szCs w:val="16"/>
              </w:rPr>
            </w:pPr>
            <w:r w:rsidRPr="00A16AB8">
              <w:rPr>
                <w:sz w:val="16"/>
                <w:szCs w:val="16"/>
              </w:rPr>
              <w:t>613 (34.2)</w:t>
            </w:r>
          </w:p>
        </w:tc>
        <w:tc>
          <w:tcPr>
            <w:tcW w:w="1170" w:type="dxa"/>
            <w:tcBorders>
              <w:left w:val="single" w:sz="4" w:space="0" w:color="auto"/>
              <w:right w:val="single" w:sz="4" w:space="0" w:color="auto"/>
            </w:tcBorders>
          </w:tcPr>
          <w:p w14:paraId="597222F4" w14:textId="77777777" w:rsidR="00045D39" w:rsidRPr="00A16AB8" w:rsidRDefault="00045D39" w:rsidP="008C1DD6">
            <w:pPr>
              <w:pStyle w:val="bullets"/>
              <w:rPr>
                <w:sz w:val="16"/>
                <w:szCs w:val="16"/>
              </w:rPr>
            </w:pPr>
            <w:r w:rsidRPr="00A16AB8">
              <w:rPr>
                <w:sz w:val="16"/>
                <w:szCs w:val="16"/>
              </w:rPr>
              <w:t>449(33.2)</w:t>
            </w:r>
          </w:p>
        </w:tc>
        <w:tc>
          <w:tcPr>
            <w:tcW w:w="1202" w:type="dxa"/>
            <w:gridSpan w:val="2"/>
            <w:tcBorders>
              <w:left w:val="single" w:sz="4" w:space="0" w:color="auto"/>
              <w:right w:val="single" w:sz="4" w:space="0" w:color="auto"/>
            </w:tcBorders>
          </w:tcPr>
          <w:p w14:paraId="0AB3D844" w14:textId="77777777" w:rsidR="00045D39" w:rsidRPr="00A16AB8" w:rsidRDefault="00045D39" w:rsidP="008C1DD6">
            <w:pPr>
              <w:pStyle w:val="bullets"/>
              <w:rPr>
                <w:sz w:val="16"/>
                <w:szCs w:val="16"/>
              </w:rPr>
            </w:pPr>
            <w:r w:rsidRPr="00A16AB8">
              <w:rPr>
                <w:sz w:val="16"/>
                <w:szCs w:val="16"/>
              </w:rPr>
              <w:t>164 (37.4)</w:t>
            </w:r>
          </w:p>
        </w:tc>
        <w:tc>
          <w:tcPr>
            <w:tcW w:w="418" w:type="dxa"/>
            <w:tcBorders>
              <w:left w:val="single" w:sz="4" w:space="0" w:color="auto"/>
            </w:tcBorders>
          </w:tcPr>
          <w:p w14:paraId="307C5237" w14:textId="77777777" w:rsidR="00045D39" w:rsidRPr="00A16AB8" w:rsidRDefault="00045D39" w:rsidP="008C1DD6">
            <w:pPr>
              <w:pStyle w:val="bullets"/>
              <w:rPr>
                <w:sz w:val="16"/>
                <w:szCs w:val="16"/>
              </w:rPr>
            </w:pPr>
            <w:r>
              <w:rPr>
                <w:sz w:val="16"/>
                <w:szCs w:val="16"/>
              </w:rPr>
              <w:t>0.123</w:t>
            </w:r>
          </w:p>
        </w:tc>
      </w:tr>
    </w:tbl>
    <w:p w14:paraId="1943DF89" w14:textId="77777777" w:rsidR="00045D39" w:rsidRDefault="00045D39" w:rsidP="00AB51AE">
      <w:pPr>
        <w:keepNext w:val="0"/>
        <w:keepLines w:val="0"/>
        <w:widowControl w:val="0"/>
        <w:tabs>
          <w:tab w:val="center" w:pos="4815"/>
        </w:tabs>
        <w:spacing w:before="0" w:after="0"/>
        <w:ind w:left="0" w:right="0" w:firstLine="0"/>
        <w:jc w:val="both"/>
        <w:rPr>
          <w:rFonts w:eastAsia="MS Mincho"/>
          <w:lang w:eastAsia="ja-JP"/>
        </w:rPr>
        <w:sectPr w:rsidR="00045D39" w:rsidSect="00045D39">
          <w:headerReference w:type="default" r:id="rId24"/>
          <w:headerReference w:type="first" r:id="rId25"/>
          <w:headerReference w:type="even" r:id="rId26"/>
          <w:type w:val="continuous"/>
          <w:pgSz w:w="12240" w:h="15846" w:code="8"/>
          <w:pgMar w:top="1440" w:right="1440" w:bottom="1440" w:left="1440" w:header="720" w:footer="720" w:gutter="0"/>
          <w:cols w:space="720" w:num="1"/>
          <w:titlePg/>
          <w:docGrid w:linePitch="360"/>
          <w:lnNumType w:countBy="1" w:distance="360" w:restart="continuous" w:numStart="1"/>
          <w:pgNumType/>
        </w:sectPr>
      </w:pPr>
    </w:p>
    <w:p w14:paraId="5BE34D87" w14:textId="77777777" w:rsidR="00516F03" w:rsidRPr="003D68F8" w:rsidRDefault="00516F03" w:rsidP="00516F03">
      <w:pPr>
        <w:keepNext w:val="0"/>
        <w:keepLines w:val="0"/>
        <w:widowControl w:val="0"/>
        <w:autoSpaceDE w:val="0"/>
        <w:autoSpaceDN w:val="0"/>
        <w:adjustRightInd w:val="0"/>
        <w:spacing w:before="0" w:after="0"/>
        <w:ind w:left="0" w:right="0" w:firstLine="0"/>
        <w:jc w:val="both"/>
        <w:rPr>
          <w:rFonts w:ascii="Times-Roman" w:hAnsi="Times-Roman" w:cs="Times-Roman"/>
        </w:rPr>
      </w:pPr>
      <w:r w:rsidRPr="003D68F8">
        <w:rPr>
          <w:rFonts w:ascii="Minion Pro" w:hAnsi="Minion Pro" w:cs="Times-Roman"/>
          <w:i w:val="0"/>
          <w:color w:val="000000"/>
          <w:sz w:val="20"/>
          <w:u w:val="none"/>
        </w:rPr>
        <w:lastRenderedPageBreak/>
        <w:t>The results shown by the research were 77.8% sensitivity, 76% specificity, and an AUROC of 0.767–0.811 in women.</w:t>
      </w:r>
    </w:p>
    <w:p w14:paraId="3A222E2D" w14:textId="77777777" w:rsidR="00516F03" w:rsidRPr="003D68F8" w:rsidRDefault="00516F03" w:rsidP="00516F03">
      <w:pPr>
        <w:keepNext w:val="0"/>
        <w:keepLines w:val="0"/>
        <w:widowControl w:val="0"/>
        <w:autoSpaceDE w:val="0"/>
        <w:autoSpaceDN w:val="0"/>
        <w:adjustRightInd w:val="0"/>
        <w:spacing w:before="0" w:after="0"/>
        <w:ind w:left="0" w:right="0" w:firstLine="0"/>
        <w:jc w:val="both"/>
        <w:rPr>
          <w:rFonts w:ascii="Times-Roman" w:hAnsi="Times-Roman" w:cs="Times-Roman"/>
        </w:rPr>
      </w:pPr>
      <w:r w:rsidRPr="003D68F8">
        <w:rPr>
          <w:rFonts w:ascii="Minion Pro" w:hAnsi="Minion Pro" w:cs="Times-Roman"/>
          <w:i w:val="0"/>
          <w:color w:val="000000"/>
          <w:sz w:val="20"/>
          <w:u w:val="none"/>
        </w:rPr>
        <w:t>A few years later, in 2019, another study presented a study focusing on women with the age more than 20 years in another study ANN model was specifically used and presented very reliable results. In 2020</w:t>
      </w:r>
      <w:r w:rsidR="00F71DDC" w:rsidRPr="003D68F8">
        <w:rPr>
          <w:rFonts w:ascii="Minion Pro" w:hAnsi="Minion Pro" w:cs="Times-Roman"/>
          <w:i w:val="0"/>
          <w:color w:val="000000"/>
          <w:sz w:val="20"/>
          <w:u w:val="none"/>
        </w:rPr>
        <w:fldChar w:fldCharType="begin" w:fldLock="1"/>
      </w:r>
      <w:r w:rsidR="00080A7B">
        <w:rPr>
          <w:rFonts w:ascii="Minion Pro" w:hAnsi="Minion Pro" w:cs="Times-Roman"/>
          <w:i w:val="0"/>
          <w:color w:val="000000"/>
          <w:sz w:val="20"/>
          <w:u w:val="none"/>
        </w:rPr>
        <w:instrText>ADDIN CSL_CITATION {"citationItems":[{"id":"ITEM-1","itemData":{"DOI":"10.1007/s11657-020-00802-8","ISSN":"18623514","PMID":"33097976","abstract":"Summary: Many predictive tools have been reported for assessing osteoporosis risk. The development and validation of osteoporosis risk prediction models were supported by machine learning. Introduction: Osteoporosis is a silent disease until it results in fragility fractures. However, early diagnosis of osteoporosis provides an opportunity to detect and prevent fractures. We aimed to develop machine learning approaches to achieve high predictive ability for osteoporosis risk that could help primary care providers identify which women are at increased risk of osteoporosis and should therefore undergo further testing with bone densitometry. Methods: We included all postmenopausal Korean women from the Korea National Health and Nutrition Examination Surveys (KNHANES V-1, V-2) conducted in 2010 and 2011. Machine learning models using methods such as the k-nearest neighbors (KNN), decision tree (DT), random forest (RF), gradient boosting machine (GBM), support vector machine (SVM), artificial neural networks (ANN), and logistic regression (LR) were developed to predict osteoporosis risk. We analyzed the effect of applying the machine learning algorithms to the raw data and featuring the selected data only where the statistically significant variables were included as model inputs. The accuracy, sensitivity, specificity, and area under the receiver operating characteristic curve (AUROC) were used to evaluate performance among the seven models. Results: A total of 1792 patients were included in this study, of which 613 had osteoporosis. The raw data consisted of 19 variables and achieved performances (in terms of AUROCs) of 0.712, 0.684, 0.727, 0.652, 0.724, 0.741, and 0.726 for KNN, DT, RF, GBM, SVM, ANN, and LR with fivefold cross-validation, respectively. The feature selected data consisted of nine variables and achieved performances (in terms of AUROCs) of 0.713, 0.685, 0.734, 0.728, 0.728, 0.743, and 0.727 for KNN, DT, RF, GBM, SVM, ANN, and LR with fivefold cross-validation, respectively. Conclusion: In this study, we developed and compared seven machine learning models to accurately predict osteoporosis risk. The ANN model performed best when compared to the other models, having the highest AUROC value. Applying the ANN model in the clinical environment could help primary care providers stratify osteoporosis patients and improve the prevention, detection, and early treatment of osteoporosis.","author":[{"dropping-particle":"","family":"Shim","given":"Jae Geum","non-dropping-particle":"","parse-names":false,"suffix":""},{"dropping-particle":"","family":"Kim","given":"Dong Woo","non-dropping-particle":"","parse-names":false,"suffix":""},{"dropping-particle":"","family":"Ryu","given":"Kyoung Ho","non-dropping-particle":"","parse-names":false,"suffix":""},{"dropping-particle":"","family":"Cho","given":"Eun Ah","non-dropping-particle":"","parse-names":false,"suffix":""},{"dropping-particle":"","family":"Ahn","given":"Jin Hee","non-dropping-particle":"","parse-names":false,"suffix":""},{"dropping-particle":"","family":"Kim","given":"Jeong In","non-dropping-particle":"","parse-names":false,"suffix":""},{"dropping-particle":"","family":"Lee","given":"Sung Hyun","non-dropping-particle":"","parse-names":false,"suffix":""}],"container-title":"Archives of Osteoporosis","id":"ITEM-1","issue":"1","issued":{"date-parts":[["2020"]]},"publisher":"Archives of Osteoporosis","title":"Application of machine learning approaches for osteoporosis risk prediction in postmenopausal women","type":"article-journal","volume":"15"},"uris":["http://www.mendeley.com/documents/?uuid=64231308-2ab8-4283-ad5b-e1fbca4d7f74"]}],"mendeley":{"formattedCitation":"[22]","plainTextFormattedCitation":"[22]","previouslyFormattedCitation":"[22]"},"properties":{"noteIndex":0},"schema":"https://github.com/citation-style-language/schema/raw/master/csl-citation.json"}</w:instrText>
      </w:r>
      <w:r w:rsidR="00F71DDC" w:rsidRPr="003D68F8">
        <w:rPr>
          <w:rFonts w:ascii="Minion Pro" w:hAnsi="Minion Pro" w:cs="Times-Roman"/>
          <w:i w:val="0"/>
          <w:color w:val="000000"/>
          <w:sz w:val="20"/>
          <w:u w:val="none"/>
        </w:rPr>
        <w:fldChar w:fldCharType="separate"/>
      </w:r>
      <w:r w:rsidRPr="003D68F8">
        <w:rPr>
          <w:rFonts w:ascii="Minion Pro" w:hAnsi="Minion Pro" w:cs="Times-Roman"/>
          <w:i w:val="0"/>
          <w:noProof/>
          <w:color w:val="000000"/>
          <w:sz w:val="20"/>
          <w:u w:val="none"/>
        </w:rPr>
        <w:t>[22]</w:t>
      </w:r>
      <w:r w:rsidR="00F71DDC" w:rsidRPr="003D68F8">
        <w:rPr>
          <w:rFonts w:ascii="Minion Pro" w:hAnsi="Minion Pro" w:cs="Times-Roman"/>
          <w:i w:val="0"/>
          <w:color w:val="000000"/>
          <w:sz w:val="20"/>
          <w:u w:val="none"/>
        </w:rPr>
        <w:fldChar w:fldCharType="end"/>
      </w:r>
      <w:r w:rsidRPr="003D68F8">
        <w:rPr>
          <w:rFonts w:ascii="Minion Pro" w:hAnsi="Minion Pro" w:cs="Times-Roman"/>
          <w:i w:val="0"/>
          <w:color w:val="000000"/>
          <w:sz w:val="20"/>
          <w:u w:val="none"/>
        </w:rPr>
        <w:t>, another researcher applied several ML algorithms on 1792 datasets and provided the best performance with the ANN model. According to studies, the ratio of expansion of osteoporosis is less in women as compared to men because of the heavyweight workloads or smoking while in women the main reasons seen for the deficiency of bone density and osteoporosis are lack of estrogen in the post-menopausal phase and senile osteoporosis. The advantage of this study is that we mainly focused on women's osteoporosis with a large data set of 2929 and numerous advanced features, these features hold an</w:t>
      </w:r>
      <w:r w:rsidRPr="003D68F8">
        <w:rPr>
          <w:rFonts w:ascii="Minion Pro" w:hAnsi="Minion Pro" w:cs="Times-Roman"/>
          <w:i w:val="0"/>
          <w:color w:val="000000"/>
          <w:sz w:val="20"/>
          <w:u w:val="none"/>
        </w:rPr>
        <w:t>important position for evaluating bone health in women during and after their menopausal phase.</w:t>
      </w:r>
    </w:p>
    <w:p w14:paraId="4C525109" w14:textId="77777777" w:rsidR="00516F03" w:rsidRDefault="00516F03" w:rsidP="00516F03">
      <w:pPr>
        <w:pStyle w:val="bullets"/>
        <w:keepNext w:val="0"/>
        <w:keepLines w:val="0"/>
        <w:widowControl w:val="0"/>
        <w:spacing w:before="0" w:after="0"/>
        <w:ind w:left="0" w:right="0" w:firstLine="0"/>
        <w:jc w:val="both"/>
      </w:pPr>
      <w:r w:rsidRPr="003D68F8">
        <w:rPr>
          <w:rFonts w:ascii="Minion Pro" w:hAnsi="Minion Pro"/>
          <w:i w:val="0"/>
          <w:color w:val="000000"/>
          <w:sz w:val="20"/>
          <w:u w:val="none"/>
        </w:rPr>
        <w:t>There were some limiting factors in our paper which included some of the input features that were prone to recall bias and history taking. Secondly, different categories of bone density are described as normal, osteopenia, and osteoporosis through the results of DXA. The performance of the model could be further improved if we use T-score as the original information. Another thing was the low prevalence rate of osteoporosis in both genders of patients 50 years old. Another thing that should be considered by the researchers is the concentration of study on different groups of people regardless of their gender and ethnicity also the validity of the ML models should be increased. From all the given models of ML; the best performance was presented by ANN (0.743</w:t>
      </w:r>
      <w:r>
        <w:rPr>
          <w:rFonts w:ascii="Minion Pro" w:hAnsi="Minion Pro"/>
          <w:i w:val="0"/>
          <w:color w:val="000000"/>
          <w:sz w:val="20"/>
          <w:u w:val="none"/>
        </w:rPr>
        <w:t>)</w:t>
      </w:r>
      <w:r w:rsidRPr="003D68F8">
        <w:rPr>
          <w:rFonts w:ascii="Minion Pro" w:hAnsi="Minion Pro"/>
          <w:i w:val="0"/>
          <w:color w:val="000000"/>
          <w:sz w:val="20"/>
          <w:u w:val="none"/>
        </w:rPr>
        <w:t>and by the models of ANN followed</w:t>
      </w:r>
      <w:r>
        <w:rPr>
          <w:rFonts w:ascii="Minion Pro" w:hAnsi="Minion Pro"/>
          <w:i w:val="0"/>
          <w:color w:val="000000"/>
          <w:sz w:val="20"/>
          <w:u w:val="none"/>
        </w:rPr>
        <w:t>by SVM (0.728) and KNN (0.713) as shown in table 2.</w:t>
      </w:r>
    </w:p>
    <w:p w14:paraId="0CFB9433" w14:textId="77777777" w:rsidR="00516F03" w:rsidRDefault="00516F03" w:rsidP="00516F03">
      <w:pPr>
        <w:pStyle w:val="bullets"/>
        <w:keepNext w:val="0"/>
        <w:keepLines w:val="0"/>
        <w:widowControl w:val="0"/>
        <w:spacing w:before="0" w:after="0"/>
        <w:ind w:left="0" w:right="0" w:firstLine="0"/>
        <w:jc w:val="both"/>
        <w:sectPr w:rsidR="00516F03" w:rsidSect="00516F03">
          <w:headerReference w:type="default" r:id="rId27"/>
          <w:headerReference w:type="first" r:id="rId28"/>
          <w:headerReference w:type="even" r:id="rId29"/>
          <w:type w:val="continuous"/>
          <w:pgSz w:w="12240" w:h="15846" w:code="1"/>
          <w:pgMar w:top="1440" w:right="1440" w:bottom="1440" w:left="1440" w:header="432" w:footer="432" w:gutter="0"/>
          <w:cols w:num="1" w:space="288"/>
          <w:lnNumType w:countBy="1" w:distance="360" w:restart="continuous" w:numStart="1"/>
          <w:pgNumType/>
        </w:sectPr>
      </w:pPr>
    </w:p>
    <w:p w14:paraId="2A711868" w14:textId="77777777" w:rsidR="00516F03" w:rsidRDefault="00516F03" w:rsidP="00516F03">
      <w:pPr>
        <w:pStyle w:val="bullets"/>
        <w:keepNext w:val="0"/>
        <w:keepLines w:val="0"/>
        <w:widowControl w:val="0"/>
        <w:spacing w:before="0" w:after="0"/>
        <w:ind w:left="0" w:right="0" w:firstLine="0"/>
        <w:jc w:val="both"/>
      </w:pPr>
    </w:p>
    <w:p w14:paraId="4FC22A3E" w14:textId="77777777" w:rsidR="00516F03" w:rsidRDefault="00516F03" w:rsidP="00516F03">
      <w:pPr>
        <w:keepNext w:val="0"/>
        <w:keepLines w:val="0"/>
        <w:widowControl w:val="0"/>
        <w:autoSpaceDE w:val="0"/>
        <w:autoSpaceDN w:val="0"/>
        <w:adjustRightInd w:val="0"/>
        <w:spacing w:before="0" w:after="0"/>
        <w:ind w:left="0" w:right="0" w:firstLine="0"/>
        <w:jc w:val="both"/>
        <w:rPr>
          <w:rFonts w:ascii="Times-Roman" w:hAnsi="Times-Roman" w:cs="Times-Roman"/>
          <w:sz w:val="18"/>
          <w:szCs w:val="18"/>
        </w:rPr>
      </w:pPr>
    </w:p>
    <w:p w14:paraId="66DB6BE8" w14:textId="77777777" w:rsidR="00516F03" w:rsidRDefault="00516F03" w:rsidP="00516F03">
      <w:pPr>
        <w:keepNext w:val="0"/>
        <w:keepLines w:val="0"/>
        <w:widowControl w:val="0"/>
        <w:autoSpaceDE w:val="0"/>
        <w:autoSpaceDN w:val="0"/>
        <w:adjustRightInd w:val="0"/>
        <w:spacing w:before="0" w:after="0"/>
        <w:ind w:left="0" w:right="0" w:firstLine="0"/>
        <w:jc w:val="both"/>
        <w:rPr>
          <w:rFonts w:ascii="Times-Roman" w:hAnsi="Times-Roman" w:cs="Times-Roman"/>
        </w:rPr>
        <w:sectPr w:rsidR="00516F03" w:rsidSect="004B2C37">
          <w:headerReference w:type="default" r:id="rId30"/>
          <w:headerReference w:type="first" r:id="rId31"/>
          <w:headerReference w:type="even" r:id="rId32"/>
          <w:type w:val="continuous"/>
          <w:pgSz w:w="12240" w:h="15846" w:code="1"/>
          <w:pgMar w:top="1440" w:right="1440" w:bottom="1440" w:left="1440" w:header="432" w:footer="432" w:gutter="0"/>
          <w:cols w:space="288" w:num="1"/>
          <w:lnNumType w:countBy="1" w:distance="360" w:restart="continuous" w:numStart="1"/>
          <w:pgNumType/>
        </w:sectPr>
      </w:pPr>
    </w:p>
    <w:tbl>
      <w:tblPr>
        <w:tblStyle w:val="TableGrid"/>
        <w:tblW w:w="9361" w:type="dxa"/>
        <w:jc w:val="left"/>
        <w:tblInd w:w="108" w:type="dxa"/>
        <w:tblLayout w:type="fixed"/>
        <w:tblLook w:val="04A0" w:firstRow="1" w:lastRow="0" w:firstColumn="1" w:lastColumn="0" w:noHBand="0" w:noVBand="1"/>
      </w:tblPr>
      <w:tblGrid>
        <w:gridCol w:w="657"/>
        <w:gridCol w:w="739"/>
        <w:gridCol w:w="903"/>
        <w:gridCol w:w="903"/>
        <w:gridCol w:w="988"/>
        <w:gridCol w:w="903"/>
        <w:gridCol w:w="986"/>
        <w:gridCol w:w="986"/>
        <w:gridCol w:w="903"/>
        <w:gridCol w:w="1391"/>
      </w:tblGrid>
      <w:tr w:rsidR="00516F03" w14:paraId="6F25126B" w14:textId="77777777" w:rsidTr="008C1DD6">
        <w:trPr>
          <w:trHeight w:val="213"/>
        </w:trPr>
        <w:tc>
          <w:tcPr>
            <w:tcW w:w="10350" w:type="dxa"/>
            <w:gridSpan w:val="10"/>
          </w:tcPr>
          <w:p w14:paraId="0AC785E4" w14:textId="77777777" w:rsidR="00516F03" w:rsidRPr="00105B89" w:rsidRDefault="00516F03" w:rsidP="008C1DD6">
            <w:pPr>
              <w:pStyle w:val="bullets"/>
              <w:jc w:val="center"/>
              <w:rPr>
                <w:b/>
                <w:sz w:val="16"/>
                <w:szCs w:val="16"/>
              </w:rPr>
            </w:pPr>
            <w:r w:rsidRPr="00105B89">
              <w:rPr>
                <w:b/>
                <w:sz w:val="16"/>
                <w:szCs w:val="16"/>
              </w:rPr>
              <w:t>Table 2 Evaluation of several Machine Learning models of postmenopausal women from Taiwan and Korea with Dataset 1 and Dataset 2 respectively (Metric 1</w:t>
            </w:r>
            <w:r w:rsidRPr="00105B89">
              <w:rPr>
                <w:b/>
                <w:sz w:val="16"/>
                <w:szCs w:val="16"/>
                <w:vertAlign w:val="superscript"/>
              </w:rPr>
              <w:t>*</w:t>
            </w:r>
            <w:r w:rsidRPr="00105B89">
              <w:rPr>
                <w:b/>
                <w:sz w:val="16"/>
                <w:szCs w:val="16"/>
              </w:rPr>
              <w:t xml:space="preserve">= </w:t>
            </w:r>
            <w:proofErr w:type="spellStart"/>
            <w:r w:rsidRPr="00105B89">
              <w:rPr>
                <w:b/>
                <w:sz w:val="16"/>
                <w:szCs w:val="16"/>
              </w:rPr>
              <w:t>Auroc</w:t>
            </w:r>
            <w:proofErr w:type="spellEnd"/>
            <w:r w:rsidRPr="00105B89">
              <w:rPr>
                <w:b/>
                <w:sz w:val="16"/>
                <w:szCs w:val="16"/>
              </w:rPr>
              <w:t xml:space="preserve"> 95% CI, Metric 2</w:t>
            </w:r>
            <w:r w:rsidRPr="00105B89">
              <w:rPr>
                <w:b/>
                <w:sz w:val="16"/>
                <w:szCs w:val="16"/>
                <w:vertAlign w:val="superscript"/>
              </w:rPr>
              <w:t>**</w:t>
            </w:r>
            <w:r w:rsidRPr="00105B89">
              <w:rPr>
                <w:b/>
                <w:sz w:val="16"/>
                <w:szCs w:val="16"/>
              </w:rPr>
              <w:t>= sensitivity, Metric 3</w:t>
            </w:r>
            <w:r w:rsidRPr="00105B89">
              <w:rPr>
                <w:b/>
                <w:sz w:val="16"/>
                <w:szCs w:val="16"/>
                <w:vertAlign w:val="superscript"/>
              </w:rPr>
              <w:t>***</w:t>
            </w:r>
            <w:r w:rsidRPr="00105B89">
              <w:rPr>
                <w:b/>
                <w:sz w:val="16"/>
                <w:szCs w:val="16"/>
              </w:rPr>
              <w:t>= Specificity)</w:t>
            </w:r>
          </w:p>
          <w:p w14:paraId="236830CE" w14:textId="77777777" w:rsidR="00516F03" w:rsidRDefault="00516F03" w:rsidP="008C1DD6">
            <w:pPr>
              <w:autoSpaceDE w:val="0"/>
              <w:autoSpaceDN w:val="0"/>
              <w:adjustRightInd w:val="0"/>
              <w:rPr>
                <w:rFonts w:ascii="Times-Roman" w:hAnsi="Times-Roman" w:cs="Times-Roman"/>
                <w:b/>
                <w:sz w:val="16"/>
                <w:szCs w:val="16"/>
              </w:rPr>
            </w:pPr>
          </w:p>
        </w:tc>
      </w:tr>
      <w:tr w:rsidR="00516F03" w:rsidRPr="00105B89" w14:paraId="58BF02B4" w14:textId="77777777" w:rsidTr="008C1DD6">
        <w:trPr>
          <w:trHeight w:val="213"/>
        </w:trPr>
        <w:tc>
          <w:tcPr>
            <w:tcW w:w="4634" w:type="dxa"/>
            <w:gridSpan w:val="5"/>
          </w:tcPr>
          <w:p w14:paraId="7C408CED"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ML models with Dataset  1</w:t>
            </w:r>
          </w:p>
        </w:tc>
        <w:tc>
          <w:tcPr>
            <w:tcW w:w="5716" w:type="dxa"/>
            <w:gridSpan w:val="5"/>
          </w:tcPr>
          <w:p w14:paraId="536B5C41"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ML models with Dataset 2</w:t>
            </w:r>
          </w:p>
        </w:tc>
      </w:tr>
      <w:tr w:rsidR="00516F03" w:rsidRPr="00105B89" w14:paraId="452C82EE" w14:textId="77777777" w:rsidTr="008C1DD6">
        <w:trPr>
          <w:trHeight w:val="638"/>
        </w:trPr>
        <w:tc>
          <w:tcPr>
            <w:tcW w:w="727" w:type="dxa"/>
          </w:tcPr>
          <w:p w14:paraId="32D78C1B" w14:textId="77777777" w:rsidR="00516F03" w:rsidRPr="00105B89" w:rsidRDefault="00516F03" w:rsidP="008C1DD6">
            <w:pPr>
              <w:autoSpaceDE w:val="0"/>
              <w:autoSpaceDN w:val="0"/>
              <w:adjustRightInd w:val="0"/>
              <w:rPr>
                <w:rFonts w:ascii="Times-Roman" w:hAnsi="Times-Roman" w:cs="Times-Roman"/>
                <w:b/>
                <w:sz w:val="15"/>
                <w:szCs w:val="15"/>
              </w:rPr>
            </w:pPr>
          </w:p>
          <w:p w14:paraId="1226C40C"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817" w:type="dxa"/>
          </w:tcPr>
          <w:p w14:paraId="743BCAD6" w14:textId="77777777" w:rsidR="00516F03" w:rsidRPr="00105B89" w:rsidRDefault="00516F03" w:rsidP="008C1DD6">
            <w:pPr>
              <w:autoSpaceDE w:val="0"/>
              <w:autoSpaceDN w:val="0"/>
              <w:adjustRightInd w:val="0"/>
              <w:rPr>
                <w:rFonts w:ascii="Times-Roman" w:hAnsi="Times-Roman" w:cs="Times-Roman"/>
                <w:b/>
                <w:sz w:val="15"/>
                <w:szCs w:val="15"/>
              </w:rPr>
            </w:pPr>
          </w:p>
          <w:p w14:paraId="34E162B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Metric1</w:t>
            </w:r>
            <w:r w:rsidRPr="00105B89">
              <w:rPr>
                <w:rFonts w:ascii="Times-Roman" w:hAnsi="Times-Roman" w:cs="Times-Roman"/>
                <w:b/>
                <w:sz w:val="15"/>
                <w:szCs w:val="15"/>
                <w:vertAlign w:val="superscript"/>
              </w:rPr>
              <w:t>*</w:t>
            </w:r>
          </w:p>
        </w:tc>
        <w:tc>
          <w:tcPr>
            <w:tcW w:w="999" w:type="dxa"/>
          </w:tcPr>
          <w:p w14:paraId="4594BA68" w14:textId="77777777" w:rsidR="00516F03" w:rsidRPr="00105B89" w:rsidRDefault="00516F03" w:rsidP="008C1DD6">
            <w:pPr>
              <w:autoSpaceDE w:val="0"/>
              <w:autoSpaceDN w:val="0"/>
              <w:adjustRightInd w:val="0"/>
              <w:rPr>
                <w:rFonts w:ascii="Times-Roman" w:hAnsi="Times-Roman" w:cs="Times-Roman"/>
                <w:b/>
                <w:sz w:val="15"/>
                <w:szCs w:val="15"/>
              </w:rPr>
            </w:pPr>
          </w:p>
          <w:p w14:paraId="75BFFCE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999" w:type="dxa"/>
          </w:tcPr>
          <w:p w14:paraId="6155EA94" w14:textId="77777777" w:rsidR="00516F03" w:rsidRPr="00105B89" w:rsidRDefault="00516F03" w:rsidP="008C1DD6">
            <w:pPr>
              <w:autoSpaceDE w:val="0"/>
              <w:autoSpaceDN w:val="0"/>
              <w:adjustRightInd w:val="0"/>
              <w:rPr>
                <w:rFonts w:ascii="Times-Roman" w:hAnsi="Times-Roman" w:cs="Times-Roman"/>
                <w:b/>
                <w:sz w:val="15"/>
                <w:szCs w:val="15"/>
              </w:rPr>
            </w:pPr>
          </w:p>
          <w:p w14:paraId="381526AD"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092" w:type="dxa"/>
          </w:tcPr>
          <w:p w14:paraId="1E799ECE"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i/>
                <w:sz w:val="15"/>
                <w:szCs w:val="15"/>
              </w:rPr>
              <w:t>p</w:t>
            </w:r>
            <w:r w:rsidRPr="00105B89">
              <w:rPr>
                <w:rFonts w:ascii="Times-Roman" w:hAnsi="Times-Roman" w:cs="Times-Roman"/>
                <w:b/>
                <w:sz w:val="15"/>
                <w:szCs w:val="15"/>
              </w:rPr>
              <w:t>-value compared with OSTA</w:t>
            </w:r>
          </w:p>
        </w:tc>
        <w:tc>
          <w:tcPr>
            <w:tcW w:w="999" w:type="dxa"/>
          </w:tcPr>
          <w:p w14:paraId="3ACE0427" w14:textId="77777777" w:rsidR="00516F03" w:rsidRPr="00105B89" w:rsidRDefault="00516F03" w:rsidP="008C1DD6">
            <w:pPr>
              <w:autoSpaceDE w:val="0"/>
              <w:autoSpaceDN w:val="0"/>
              <w:adjustRightInd w:val="0"/>
              <w:rPr>
                <w:rFonts w:ascii="Times-Roman" w:hAnsi="Times-Roman" w:cs="Times-Roman"/>
                <w:b/>
                <w:sz w:val="15"/>
                <w:szCs w:val="15"/>
              </w:rPr>
            </w:pPr>
          </w:p>
          <w:p w14:paraId="0C82124E"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1090" w:type="dxa"/>
          </w:tcPr>
          <w:p w14:paraId="7504EE68" w14:textId="77777777" w:rsidR="00516F03" w:rsidRPr="00105B89" w:rsidRDefault="00516F03" w:rsidP="008C1DD6">
            <w:pPr>
              <w:autoSpaceDE w:val="0"/>
              <w:autoSpaceDN w:val="0"/>
              <w:adjustRightInd w:val="0"/>
              <w:rPr>
                <w:rFonts w:ascii="Times-Roman" w:hAnsi="Times-Roman" w:cs="Times-Roman"/>
                <w:b/>
                <w:sz w:val="15"/>
                <w:szCs w:val="15"/>
              </w:rPr>
            </w:pPr>
          </w:p>
          <w:p w14:paraId="593B1533"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1</w:t>
            </w:r>
            <w:r w:rsidRPr="00105B89">
              <w:rPr>
                <w:rFonts w:ascii="Times-Roman" w:hAnsi="Times-Roman" w:cs="Times-Roman"/>
                <w:b/>
                <w:sz w:val="15"/>
                <w:szCs w:val="15"/>
                <w:vertAlign w:val="superscript"/>
              </w:rPr>
              <w:t>*</w:t>
            </w:r>
          </w:p>
        </w:tc>
        <w:tc>
          <w:tcPr>
            <w:tcW w:w="1090" w:type="dxa"/>
          </w:tcPr>
          <w:p w14:paraId="4AA92476" w14:textId="77777777" w:rsidR="00516F03" w:rsidRPr="00105B89" w:rsidRDefault="00516F03" w:rsidP="008C1DD6">
            <w:pPr>
              <w:autoSpaceDE w:val="0"/>
              <w:autoSpaceDN w:val="0"/>
              <w:adjustRightInd w:val="0"/>
              <w:rPr>
                <w:rFonts w:ascii="Times-Roman" w:hAnsi="Times-Roman" w:cs="Times-Roman"/>
                <w:b/>
                <w:sz w:val="15"/>
                <w:szCs w:val="15"/>
              </w:rPr>
            </w:pPr>
          </w:p>
          <w:p w14:paraId="55E8A20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999" w:type="dxa"/>
          </w:tcPr>
          <w:p w14:paraId="589CB43E" w14:textId="77777777" w:rsidR="00516F03" w:rsidRPr="00105B89" w:rsidRDefault="00516F03" w:rsidP="008C1DD6">
            <w:pPr>
              <w:autoSpaceDE w:val="0"/>
              <w:autoSpaceDN w:val="0"/>
              <w:adjustRightInd w:val="0"/>
              <w:rPr>
                <w:rFonts w:ascii="Times-Roman" w:hAnsi="Times-Roman" w:cs="Times-Roman"/>
                <w:b/>
                <w:sz w:val="15"/>
                <w:szCs w:val="15"/>
              </w:rPr>
            </w:pPr>
          </w:p>
          <w:p w14:paraId="0EBB963A"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538" w:type="dxa"/>
          </w:tcPr>
          <w:p w14:paraId="4D7EF188" w14:textId="77777777" w:rsidR="00516F03" w:rsidRPr="00105B89" w:rsidRDefault="00516F03" w:rsidP="008C1DD6">
            <w:pPr>
              <w:autoSpaceDE w:val="0"/>
              <w:autoSpaceDN w:val="0"/>
              <w:adjustRightInd w:val="0"/>
              <w:rPr>
                <w:rFonts w:ascii="Times-Roman" w:hAnsi="Times-Roman" w:cs="Times-Roman"/>
                <w:b/>
                <w:sz w:val="15"/>
                <w:szCs w:val="15"/>
              </w:rPr>
            </w:pPr>
          </w:p>
          <w:p w14:paraId="1A04CCAB"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Accuracy (95% CI)</w:t>
            </w:r>
          </w:p>
        </w:tc>
      </w:tr>
      <w:tr w:rsidR="00516F03" w:rsidRPr="000B6889" w14:paraId="307CD3BA" w14:textId="77777777" w:rsidTr="008C1DD6">
        <w:trPr>
          <w:trHeight w:val="319"/>
        </w:trPr>
        <w:tc>
          <w:tcPr>
            <w:tcW w:w="727" w:type="dxa"/>
          </w:tcPr>
          <w:p w14:paraId="57A7B0E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A</w:t>
            </w:r>
            <w:r w:rsidRPr="000B6889">
              <w:rPr>
                <w:rFonts w:ascii="Times-Roman" w:hAnsi="Times-Roman" w:cs="Times-Roman"/>
                <w:sz w:val="16"/>
                <w:szCs w:val="16"/>
              </w:rPr>
              <w:t>NN</w:t>
            </w:r>
          </w:p>
        </w:tc>
        <w:tc>
          <w:tcPr>
            <w:tcW w:w="817" w:type="dxa"/>
          </w:tcPr>
          <w:p w14:paraId="5739D8CB"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78.2%</w:t>
            </w:r>
          </w:p>
        </w:tc>
        <w:tc>
          <w:tcPr>
            <w:tcW w:w="999" w:type="dxa"/>
          </w:tcPr>
          <w:p w14:paraId="613EC5E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403B06C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69.7%</w:t>
            </w:r>
          </w:p>
        </w:tc>
        <w:tc>
          <w:tcPr>
            <w:tcW w:w="1092" w:type="dxa"/>
          </w:tcPr>
          <w:p w14:paraId="33810F83"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0.0257</w:t>
            </w:r>
          </w:p>
        </w:tc>
        <w:tc>
          <w:tcPr>
            <w:tcW w:w="999" w:type="dxa"/>
          </w:tcPr>
          <w:p w14:paraId="793CE609"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ANN</w:t>
            </w:r>
          </w:p>
        </w:tc>
        <w:tc>
          <w:tcPr>
            <w:tcW w:w="1090" w:type="dxa"/>
          </w:tcPr>
          <w:p w14:paraId="3051D21E"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0.747</w:t>
            </w:r>
          </w:p>
        </w:tc>
        <w:tc>
          <w:tcPr>
            <w:tcW w:w="1090" w:type="dxa"/>
          </w:tcPr>
          <w:p w14:paraId="4DF6A3A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0.58</w:t>
            </w:r>
          </w:p>
        </w:tc>
        <w:tc>
          <w:tcPr>
            <w:tcW w:w="999" w:type="dxa"/>
          </w:tcPr>
          <w:p w14:paraId="09F07CC9"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0.66</w:t>
            </w:r>
          </w:p>
        </w:tc>
        <w:tc>
          <w:tcPr>
            <w:tcW w:w="1538" w:type="dxa"/>
          </w:tcPr>
          <w:p w14:paraId="69EFD2F4"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0.713  (0.672-0.753)</w:t>
            </w:r>
          </w:p>
        </w:tc>
      </w:tr>
      <w:tr w:rsidR="00516F03" w:rsidRPr="000B6889" w14:paraId="3F5A5FA2" w14:textId="77777777" w:rsidTr="008C1DD6">
        <w:trPr>
          <w:trHeight w:val="213"/>
        </w:trPr>
        <w:tc>
          <w:tcPr>
            <w:tcW w:w="727" w:type="dxa"/>
          </w:tcPr>
          <w:p w14:paraId="3FD34E6D"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SVM</w:t>
            </w:r>
          </w:p>
        </w:tc>
        <w:tc>
          <w:tcPr>
            <w:tcW w:w="817" w:type="dxa"/>
          </w:tcPr>
          <w:p w14:paraId="28748CD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81.2%</w:t>
            </w:r>
          </w:p>
        </w:tc>
        <w:tc>
          <w:tcPr>
            <w:tcW w:w="999" w:type="dxa"/>
          </w:tcPr>
          <w:p w14:paraId="1A4C7E8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88.8%</w:t>
            </w:r>
          </w:p>
        </w:tc>
        <w:tc>
          <w:tcPr>
            <w:tcW w:w="999" w:type="dxa"/>
          </w:tcPr>
          <w:p w14:paraId="039FF4F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67.6%</w:t>
            </w:r>
          </w:p>
        </w:tc>
        <w:tc>
          <w:tcPr>
            <w:tcW w:w="1092" w:type="dxa"/>
          </w:tcPr>
          <w:p w14:paraId="2A865ADD"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0.0142</w:t>
            </w:r>
          </w:p>
        </w:tc>
        <w:tc>
          <w:tcPr>
            <w:tcW w:w="999" w:type="dxa"/>
          </w:tcPr>
          <w:p w14:paraId="7F5898AA"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SVM</w:t>
            </w:r>
          </w:p>
        </w:tc>
        <w:tc>
          <w:tcPr>
            <w:tcW w:w="1090" w:type="dxa"/>
          </w:tcPr>
          <w:p w14:paraId="04E59D6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0.0142</w:t>
            </w:r>
          </w:p>
        </w:tc>
        <w:tc>
          <w:tcPr>
            <w:tcW w:w="1090" w:type="dxa"/>
          </w:tcPr>
          <w:p w14:paraId="77D55F8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88.8%</w:t>
            </w:r>
          </w:p>
        </w:tc>
        <w:tc>
          <w:tcPr>
            <w:tcW w:w="999" w:type="dxa"/>
          </w:tcPr>
          <w:p w14:paraId="4FBF6ED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67.6%</w:t>
            </w:r>
          </w:p>
        </w:tc>
        <w:tc>
          <w:tcPr>
            <w:tcW w:w="1538" w:type="dxa"/>
          </w:tcPr>
          <w:p w14:paraId="7E0C77B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0.728 (0.674-0.758</w:t>
            </w:r>
          </w:p>
        </w:tc>
      </w:tr>
      <w:tr w:rsidR="00516F03" w:rsidRPr="000B6889" w14:paraId="6548608C" w14:textId="77777777" w:rsidTr="008C1DD6">
        <w:trPr>
          <w:trHeight w:val="213"/>
        </w:trPr>
        <w:tc>
          <w:tcPr>
            <w:tcW w:w="727" w:type="dxa"/>
          </w:tcPr>
          <w:p w14:paraId="091398E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K</w:t>
            </w:r>
            <w:r w:rsidRPr="000B6889">
              <w:rPr>
                <w:rFonts w:ascii="Times-Roman" w:hAnsi="Times-Roman" w:cs="Times-Roman"/>
                <w:sz w:val="16"/>
                <w:szCs w:val="16"/>
              </w:rPr>
              <w:t>NN</w:t>
            </w:r>
          </w:p>
        </w:tc>
        <w:tc>
          <w:tcPr>
            <w:tcW w:w="817" w:type="dxa"/>
          </w:tcPr>
          <w:p w14:paraId="4FDDA19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7.68%</w:t>
            </w:r>
          </w:p>
        </w:tc>
        <w:tc>
          <w:tcPr>
            <w:tcW w:w="999" w:type="dxa"/>
          </w:tcPr>
          <w:p w14:paraId="048D2F9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376798D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77.5%</w:t>
            </w:r>
          </w:p>
        </w:tc>
        <w:tc>
          <w:tcPr>
            <w:tcW w:w="1092" w:type="dxa"/>
          </w:tcPr>
          <w:p w14:paraId="1C600412"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0.0345</w:t>
            </w:r>
          </w:p>
        </w:tc>
        <w:tc>
          <w:tcPr>
            <w:tcW w:w="999" w:type="dxa"/>
          </w:tcPr>
          <w:p w14:paraId="2A88D958"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KNN</w:t>
            </w:r>
          </w:p>
        </w:tc>
        <w:tc>
          <w:tcPr>
            <w:tcW w:w="1090" w:type="dxa"/>
          </w:tcPr>
          <w:p w14:paraId="5F06BE4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0.0345</w:t>
            </w:r>
          </w:p>
        </w:tc>
        <w:tc>
          <w:tcPr>
            <w:tcW w:w="1090" w:type="dxa"/>
          </w:tcPr>
          <w:p w14:paraId="20BEF500"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58C9CBD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77.5%</w:t>
            </w:r>
          </w:p>
        </w:tc>
        <w:tc>
          <w:tcPr>
            <w:tcW w:w="1538" w:type="dxa"/>
          </w:tcPr>
          <w:p w14:paraId="509E55A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0.743 (0.693-0.777)</w:t>
            </w:r>
          </w:p>
        </w:tc>
      </w:tr>
      <w:tr w:rsidR="00516F03" w:rsidRPr="000B6889" w14:paraId="6DB2C8AB" w14:textId="77777777" w:rsidTr="008C1DD6">
        <w:trPr>
          <w:trHeight w:val="69"/>
        </w:trPr>
        <w:tc>
          <w:tcPr>
            <w:tcW w:w="727" w:type="dxa"/>
          </w:tcPr>
          <w:p w14:paraId="24ACD140"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OSTA</w:t>
            </w:r>
          </w:p>
        </w:tc>
        <w:tc>
          <w:tcPr>
            <w:tcW w:w="817" w:type="dxa"/>
          </w:tcPr>
          <w:p w14:paraId="14E4376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 xml:space="preserve">74.5% </w:t>
            </w:r>
          </w:p>
        </w:tc>
        <w:tc>
          <w:tcPr>
            <w:tcW w:w="999" w:type="dxa"/>
          </w:tcPr>
          <w:p w14:paraId="122F2CC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74.6%</w:t>
            </w:r>
          </w:p>
        </w:tc>
        <w:tc>
          <w:tcPr>
            <w:tcW w:w="999" w:type="dxa"/>
          </w:tcPr>
          <w:p w14:paraId="36D4F85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69.5%</w:t>
            </w:r>
          </w:p>
        </w:tc>
        <w:tc>
          <w:tcPr>
            <w:tcW w:w="1092" w:type="dxa"/>
          </w:tcPr>
          <w:p w14:paraId="2348616D" w14:textId="77777777" w:rsidR="00516F03" w:rsidRDefault="00516F03" w:rsidP="008C1DD6">
            <w:pPr>
              <w:autoSpaceDE w:val="0"/>
              <w:autoSpaceDN w:val="0"/>
              <w:adjustRightInd w:val="0"/>
              <w:rPr>
                <w:rFonts w:ascii="Times-Roman" w:hAnsi="Times-Roman" w:cs="Times-Roman"/>
                <w:sz w:val="16"/>
                <w:szCs w:val="16"/>
              </w:rPr>
            </w:pPr>
          </w:p>
        </w:tc>
        <w:tc>
          <w:tcPr>
            <w:tcW w:w="999" w:type="dxa"/>
          </w:tcPr>
          <w:p w14:paraId="2ACE4613" w14:textId="77777777" w:rsidR="00516F03" w:rsidRPr="000B6889" w:rsidRDefault="00516F03" w:rsidP="008C1DD6">
            <w:pPr>
              <w:autoSpaceDE w:val="0"/>
              <w:autoSpaceDN w:val="0"/>
              <w:adjustRightInd w:val="0"/>
              <w:rPr>
                <w:rFonts w:ascii="Times-Roman" w:hAnsi="Times-Roman" w:cs="Times-Roman"/>
                <w:sz w:val="16"/>
                <w:szCs w:val="16"/>
              </w:rPr>
            </w:pPr>
          </w:p>
        </w:tc>
        <w:tc>
          <w:tcPr>
            <w:tcW w:w="1090" w:type="dxa"/>
          </w:tcPr>
          <w:p w14:paraId="46631893" w14:textId="77777777" w:rsidR="00516F03" w:rsidRPr="000B6889" w:rsidRDefault="00516F03" w:rsidP="008C1DD6">
            <w:pPr>
              <w:autoSpaceDE w:val="0"/>
              <w:autoSpaceDN w:val="0"/>
              <w:adjustRightInd w:val="0"/>
              <w:rPr>
                <w:rFonts w:ascii="Times-Roman" w:hAnsi="Times-Roman" w:cs="Times-Roman"/>
                <w:sz w:val="16"/>
                <w:szCs w:val="16"/>
              </w:rPr>
            </w:pPr>
          </w:p>
        </w:tc>
        <w:tc>
          <w:tcPr>
            <w:tcW w:w="1090" w:type="dxa"/>
          </w:tcPr>
          <w:p w14:paraId="62B298CA" w14:textId="77777777" w:rsidR="00516F03" w:rsidRPr="000B6889" w:rsidRDefault="00516F03" w:rsidP="008C1DD6">
            <w:pPr>
              <w:autoSpaceDE w:val="0"/>
              <w:autoSpaceDN w:val="0"/>
              <w:adjustRightInd w:val="0"/>
              <w:rPr>
                <w:rFonts w:ascii="Times-Roman" w:hAnsi="Times-Roman" w:cs="Times-Roman"/>
                <w:sz w:val="16"/>
                <w:szCs w:val="16"/>
              </w:rPr>
            </w:pPr>
          </w:p>
        </w:tc>
        <w:tc>
          <w:tcPr>
            <w:tcW w:w="999" w:type="dxa"/>
          </w:tcPr>
          <w:p w14:paraId="789C71F8" w14:textId="77777777" w:rsidR="00516F03" w:rsidRPr="000B6889" w:rsidRDefault="00516F03" w:rsidP="008C1DD6">
            <w:pPr>
              <w:autoSpaceDE w:val="0"/>
              <w:autoSpaceDN w:val="0"/>
              <w:adjustRightInd w:val="0"/>
              <w:rPr>
                <w:rFonts w:ascii="Times-Roman" w:hAnsi="Times-Roman" w:cs="Times-Roman"/>
                <w:sz w:val="16"/>
                <w:szCs w:val="16"/>
              </w:rPr>
            </w:pPr>
          </w:p>
        </w:tc>
        <w:tc>
          <w:tcPr>
            <w:tcW w:w="1538" w:type="dxa"/>
          </w:tcPr>
          <w:p w14:paraId="24CD2936" w14:textId="77777777" w:rsidR="00516F03" w:rsidRPr="000B6889" w:rsidRDefault="00516F03" w:rsidP="008C1DD6">
            <w:pPr>
              <w:autoSpaceDE w:val="0"/>
              <w:autoSpaceDN w:val="0"/>
              <w:adjustRightInd w:val="0"/>
              <w:rPr>
                <w:rFonts w:ascii="Times-Roman" w:hAnsi="Times-Roman" w:cs="Times-Roman"/>
                <w:sz w:val="16"/>
                <w:szCs w:val="16"/>
              </w:rPr>
            </w:pPr>
          </w:p>
        </w:tc>
      </w:tr>
    </w:tbl>
    <w:p w14:paraId="7EC92FF8" w14:textId="77777777" w:rsidR="00516F03" w:rsidRPr="000A5E68" w:rsidRDefault="00516F03" w:rsidP="00516F03">
      <w:pPr>
        <w:keepNext w:val="0"/>
        <w:keepLines w:val="0"/>
        <w:widowControl w:val="0"/>
        <w:spacing w:before="0" w:after="0"/>
        <w:ind w:left="0" w:right="0" w:firstLine="0"/>
        <w:jc w:val="both"/>
      </w:pPr>
    </w:p>
    <w:p w14:paraId="07423402" w14:textId="77777777" w:rsidR="00516F03" w:rsidRDefault="00516F03" w:rsidP="00516F03">
      <w:pPr>
        <w:pStyle w:val="bullets"/>
        <w:keepNext w:val="0"/>
        <w:keepLines w:val="0"/>
        <w:widowControl w:val="0"/>
        <w:spacing w:before="0" w:after="0"/>
        <w:ind w:left="0" w:right="0" w:firstLine="0"/>
        <w:jc w:val="both"/>
        <w:sectPr w:rsidR="00516F03" w:rsidSect="004B2C37">
          <w:headerReference w:type="default" r:id="rId33"/>
          <w:headerReference w:type="first" r:id="rId34"/>
          <w:headerReference w:type="even" r:id="rId35"/>
          <w:type w:val="continuous"/>
          <w:pgSz w:w="12240" w:h="15846" w:code="1"/>
          <w:pgMar w:top="1440" w:right="1440" w:bottom="1440" w:left="1440" w:header="432" w:footer="432" w:gutter="0"/>
          <w:cols w:space="288" w:num="1"/>
          <w:lnNumType w:countBy="1" w:distance="360" w:restart="continuous" w:numStart="1"/>
          <w:pgNumType/>
        </w:sectPr>
      </w:pPr>
    </w:p>
    <w:p w14:paraId="11D1EE65" w14:textId="77777777" w:rsidR="00516F03" w:rsidRPr="00105B89" w:rsidRDefault="00516F03" w:rsidP="00516F03">
      <w:pPr>
        <w:pStyle w:val="bullets"/>
        <w:keepNext w:val="0"/>
        <w:keepLines w:val="0"/>
        <w:widowControl w:val="0"/>
        <w:spacing w:before="0" w:after="0"/>
        <w:ind w:left="0" w:right="0" w:firstLine="0"/>
        <w:jc w:val="both"/>
      </w:pPr>
      <w:r w:rsidRPr="00105B89">
        <w:rPr>
          <w:rFonts w:ascii="Minion Pro" w:hAnsi="Minion Pro"/>
          <w:i w:val="0"/>
          <w:color w:val="000000"/>
          <w:sz w:val="20"/>
          <w:u w:val="none"/>
        </w:rPr>
        <w:t>For Dataset 3 from China</w:t>
      </w:r>
      <w:r>
        <w:rPr>
          <w:rFonts w:ascii="Minion Pro" w:hAnsi="Minion Pro"/>
          <w:i w:val="0"/>
          <w:color w:val="000000"/>
          <w:sz w:val="20"/>
          <w:u w:val="none"/>
        </w:rPr>
      </w:r>
      <w:r>
        <w:rPr>
          <w:rFonts w:ascii="Minion Pro" w:hAnsi="Minion Pro"/>
          <w:i w:val="0"/>
          <w:color w:val="000000"/>
          <w:sz w:val="20"/>
          <w:u w:val="none"/>
        </w:rPr>
        <w:t>(table 3)</w:t>
      </w:r>
      <w:r w:rsidRPr="00105B89">
        <w:rPr>
          <w:rFonts w:ascii="Minion Pro" w:hAnsi="Minion Pro"/>
          <w:i w:val="0"/>
          <w:color w:val="000000"/>
          <w:sz w:val="20"/>
          <w:u w:val="none"/>
        </w:rPr>
        <w:t>, there were a total of 5 ANN-based models used; Model 1 incorporated important antenatal and postnatal characteristics, such as age at conception, a lack of folic acid, the addition of iron, calcium, etc. Model 2 incorporated the mother's nutritional status parameters, such as age at conception, pre-pregnancy body mass index, employment, parity, etc. Model 3 took into account characteristics, gestational hypertension, use of dexamethasone, and</w:t>
      </w:r>
      <w:r w:rsidRPr="00105B89">
        <w:rPr>
          <w:rFonts w:ascii="Minion Pro" w:hAnsi="Minion Pro"/>
          <w:i w:val="0"/>
          <w:color w:val="000000"/>
          <w:sz w:val="20"/>
          <w:u w:val="none"/>
        </w:rPr>
        <w:t>magnesium sulfate use. Model 4 took into account every prenatal component, including the age of the pregnancy, pre-pregnancy body mass index, occupation, parity, deficiency of folic acid, iron and calcium supplementation, gestational hypertension, dexamethasone use, and magnesium sulfate use. Neonatal birth-weight, neonatal anemia, neonatal septicemia, and neonatal respiratory distress syndrome were incorporated in Model 5's postnatal factors (i.e., age at pregnancy, pre-pregnancy body mass index, occupation, and parity).</w:t>
      </w:r>
    </w:p>
    <w:p w14:paraId="3DB35EFA" w14:textId="77777777" w:rsidR="00516F03" w:rsidRDefault="00516F03" w:rsidP="00516F03">
      <w:pPr>
        <w:pStyle w:val="bullets"/>
        <w:keepNext w:val="0"/>
        <w:keepLines w:val="0"/>
        <w:widowControl w:val="0"/>
        <w:spacing w:before="0" w:after="0"/>
        <w:ind w:left="0" w:right="0" w:firstLine="0"/>
        <w:jc w:val="both"/>
        <w:sectPr w:rsidR="00516F03" w:rsidSect="00516F03">
          <w:headerReference w:type="default" r:id="rId36"/>
          <w:headerReference w:type="first" r:id="rId37"/>
          <w:headerReference w:type="even" r:id="rId38"/>
          <w:type w:val="continuous"/>
          <w:pgSz w:w="12240" w:h="15846" w:code="1"/>
          <w:pgMar w:top="1440" w:right="1440" w:bottom="1440" w:left="1440" w:header="432" w:footer="432" w:gutter="0"/>
          <w:cols w:num="1" w:space="288"/>
          <w:lnNumType w:countBy="1" w:distance="360" w:restart="continuous" w:numStart="1"/>
          <w:pgNumType/>
        </w:sectPr>
      </w:pPr>
    </w:p>
    <w:p w14:paraId="254F5ED6" w14:textId="77777777" w:rsidR="00516F03" w:rsidRDefault="00516F03" w:rsidP="00516F03">
      <w:pPr>
        <w:pStyle w:val="bullets"/>
        <w:keepNext w:val="0"/>
        <w:keepLines w:val="0"/>
        <w:widowControl w:val="0"/>
        <w:spacing w:before="0" w:after="0"/>
        <w:ind w:left="0" w:right="0" w:firstLine="0"/>
        <w:jc w:val="both"/>
      </w:pPr>
    </w:p>
    <w:tbl>
      <w:tblPr>
        <w:tblStyle w:val="TableGrid"/>
        <w:tblW w:w="9361" w:type="dxa"/>
        <w:jc w:val="left"/>
        <w:tblInd w:w="108" w:type="dxa"/>
        <w:tblLayout w:type="fixed"/>
        <w:tblLook w:val="04A0" w:firstRow="1" w:lastRow="0" w:firstColumn="1" w:lastColumn="0" w:noHBand="0" w:noVBand="1"/>
      </w:tblPr>
      <w:tblGrid>
        <w:gridCol w:w="732"/>
        <w:gridCol w:w="1464"/>
        <w:gridCol w:w="1546"/>
        <w:gridCol w:w="1383"/>
        <w:gridCol w:w="1464"/>
        <w:gridCol w:w="1464"/>
        <w:gridCol w:w="1307"/>
      </w:tblGrid>
      <w:tr w:rsidR="00516F03" w14:paraId="45EDF47F" w14:textId="77777777" w:rsidTr="008C1DD6">
        <w:trPr>
          <w:trHeight w:val="306"/>
        </w:trPr>
        <w:tc>
          <w:tcPr>
            <w:tcW w:w="10516" w:type="dxa"/>
            <w:gridSpan w:val="7"/>
          </w:tcPr>
          <w:p w14:paraId="70F5EC30" w14:textId="77777777" w:rsidR="00516F03" w:rsidRPr="00105B89" w:rsidRDefault="00516F03" w:rsidP="008C1DD6">
            <w:pPr>
              <w:pStyle w:val="bullets"/>
              <w:jc w:val="center"/>
              <w:rPr>
                <w:b/>
                <w:sz w:val="16"/>
                <w:szCs w:val="16"/>
              </w:rPr>
            </w:pPr>
            <w:r w:rsidRPr="00105B89">
              <w:rPr>
                <w:b/>
                <w:sz w:val="16"/>
                <w:szCs w:val="16"/>
              </w:rPr>
              <w:t>Table 3 Performance evaluation of different ANN models for predictive analysis of pregnant women having the issue of BMD from Dataset 3 ((Metric 1</w:t>
            </w:r>
            <w:r w:rsidRPr="00105B89">
              <w:rPr>
                <w:b/>
                <w:sz w:val="16"/>
                <w:szCs w:val="16"/>
                <w:vertAlign w:val="superscript"/>
              </w:rPr>
              <w:t>*</w:t>
            </w:r>
            <w:r w:rsidRPr="00105B89">
              <w:rPr>
                <w:b/>
                <w:sz w:val="16"/>
                <w:szCs w:val="16"/>
              </w:rPr>
              <w:t xml:space="preserve">= </w:t>
            </w:r>
            <w:proofErr w:type="spellStart"/>
            <w:r w:rsidRPr="00105B89">
              <w:rPr>
                <w:b/>
                <w:sz w:val="16"/>
                <w:szCs w:val="16"/>
              </w:rPr>
              <w:t>Auroc</w:t>
            </w:r>
            <w:proofErr w:type="spellEnd"/>
            <w:r w:rsidRPr="00105B89">
              <w:rPr>
                <w:b/>
                <w:sz w:val="16"/>
                <w:szCs w:val="16"/>
              </w:rPr>
              <w:t xml:space="preserve"> 95% CI, Metric 2</w:t>
            </w:r>
            <w:r w:rsidRPr="00105B89">
              <w:rPr>
                <w:b/>
                <w:sz w:val="16"/>
                <w:szCs w:val="16"/>
                <w:vertAlign w:val="superscript"/>
              </w:rPr>
              <w:t>**</w:t>
            </w:r>
            <w:r w:rsidRPr="00105B89">
              <w:rPr>
                <w:b/>
                <w:sz w:val="16"/>
                <w:szCs w:val="16"/>
              </w:rPr>
              <w:t>= sensitivity, Metric 3</w:t>
            </w:r>
            <w:r w:rsidRPr="00105B89">
              <w:rPr>
                <w:b/>
                <w:sz w:val="16"/>
                <w:szCs w:val="16"/>
                <w:vertAlign w:val="superscript"/>
              </w:rPr>
              <w:t>***</w:t>
            </w:r>
            <w:r w:rsidRPr="00105B89">
              <w:rPr>
                <w:b/>
                <w:sz w:val="16"/>
                <w:szCs w:val="16"/>
              </w:rPr>
              <w:t>= Specificity, Metric 4</w:t>
            </w:r>
            <w:r w:rsidRPr="00105B89">
              <w:rPr>
                <w:b/>
                <w:sz w:val="16"/>
                <w:szCs w:val="16"/>
                <w:vertAlign w:val="superscript"/>
              </w:rPr>
              <w:t>****</w:t>
            </w:r>
            <w:r w:rsidRPr="00105B89">
              <w:rPr>
                <w:b/>
                <w:sz w:val="16"/>
                <w:szCs w:val="16"/>
              </w:rPr>
              <w:t>= True Positive Value, Metric 5</w:t>
            </w:r>
            <w:r w:rsidRPr="00105B89">
              <w:rPr>
                <w:b/>
                <w:sz w:val="16"/>
                <w:szCs w:val="16"/>
                <w:vertAlign w:val="superscript"/>
              </w:rPr>
              <w:t>*****</w:t>
            </w:r>
            <w:r w:rsidRPr="00105B89">
              <w:rPr>
                <w:b/>
                <w:sz w:val="16"/>
                <w:szCs w:val="16"/>
              </w:rPr>
              <w:t>=Negative Predictive Value)</w:t>
            </w:r>
          </w:p>
          <w:p w14:paraId="2572F356" w14:textId="77777777" w:rsidR="00516F03" w:rsidRPr="00105B89" w:rsidRDefault="00516F03" w:rsidP="008C1DD6">
            <w:pPr>
              <w:autoSpaceDE w:val="0"/>
              <w:autoSpaceDN w:val="0"/>
              <w:adjustRightInd w:val="0"/>
              <w:rPr>
                <w:rFonts w:ascii="Times-Roman" w:hAnsi="Times-Roman" w:cs="Times-Roman"/>
                <w:b/>
                <w:sz w:val="16"/>
                <w:szCs w:val="16"/>
              </w:rPr>
            </w:pPr>
          </w:p>
        </w:tc>
      </w:tr>
      <w:tr w:rsidR="00516F03" w14:paraId="522E391A" w14:textId="77777777" w:rsidTr="008C1DD6">
        <w:trPr>
          <w:trHeight w:val="306"/>
        </w:trPr>
        <w:tc>
          <w:tcPr>
            <w:tcW w:w="10516" w:type="dxa"/>
            <w:gridSpan w:val="7"/>
          </w:tcPr>
          <w:p w14:paraId="54C98633"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various ANN models with Dataset  3</w:t>
            </w:r>
          </w:p>
        </w:tc>
      </w:tr>
      <w:tr w:rsidR="00516F03" w:rsidRPr="000B6889" w14:paraId="4C80F17A" w14:textId="77777777" w:rsidTr="008C1DD6">
        <w:trPr>
          <w:trHeight w:val="535"/>
        </w:trPr>
        <w:tc>
          <w:tcPr>
            <w:tcW w:w="822" w:type="dxa"/>
          </w:tcPr>
          <w:p w14:paraId="52518DD6" w14:textId="77777777" w:rsidR="00516F03" w:rsidRPr="00105B89" w:rsidRDefault="00516F03" w:rsidP="008C1DD6">
            <w:pPr>
              <w:autoSpaceDE w:val="0"/>
              <w:autoSpaceDN w:val="0"/>
              <w:adjustRightInd w:val="0"/>
              <w:rPr>
                <w:rFonts w:ascii="Times-Roman" w:hAnsi="Times-Roman" w:cs="Times-Roman"/>
                <w:b/>
                <w:sz w:val="15"/>
                <w:szCs w:val="15"/>
              </w:rPr>
            </w:pPr>
          </w:p>
          <w:p w14:paraId="1DBB1A18"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1645" w:type="dxa"/>
          </w:tcPr>
          <w:p w14:paraId="2DE4CBE8" w14:textId="77777777" w:rsidR="00516F03" w:rsidRPr="00105B89" w:rsidRDefault="00516F03" w:rsidP="008C1DD6">
            <w:pPr>
              <w:autoSpaceDE w:val="0"/>
              <w:autoSpaceDN w:val="0"/>
              <w:adjustRightInd w:val="0"/>
              <w:rPr>
                <w:rFonts w:ascii="Times-Roman" w:hAnsi="Times-Roman" w:cs="Times-Roman"/>
                <w:b/>
                <w:sz w:val="15"/>
                <w:szCs w:val="15"/>
              </w:rPr>
            </w:pPr>
          </w:p>
          <w:p w14:paraId="3D6F5E2B"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Metric1</w:t>
            </w:r>
            <w:r w:rsidRPr="00105B89">
              <w:rPr>
                <w:rFonts w:ascii="Times-Roman" w:hAnsi="Times-Roman" w:cs="Times-Roman"/>
                <w:b/>
                <w:sz w:val="15"/>
                <w:szCs w:val="15"/>
                <w:vertAlign w:val="superscript"/>
              </w:rPr>
              <w:t>*</w:t>
            </w:r>
          </w:p>
        </w:tc>
        <w:tc>
          <w:tcPr>
            <w:tcW w:w="1737" w:type="dxa"/>
          </w:tcPr>
          <w:p w14:paraId="747C7E1F" w14:textId="77777777" w:rsidR="00516F03" w:rsidRPr="00105B89" w:rsidRDefault="00516F03" w:rsidP="008C1DD6">
            <w:pPr>
              <w:autoSpaceDE w:val="0"/>
              <w:autoSpaceDN w:val="0"/>
              <w:adjustRightInd w:val="0"/>
              <w:rPr>
                <w:rFonts w:ascii="Times-Roman" w:hAnsi="Times-Roman" w:cs="Times-Roman"/>
                <w:b/>
                <w:sz w:val="15"/>
                <w:szCs w:val="15"/>
              </w:rPr>
            </w:pPr>
          </w:p>
          <w:p w14:paraId="66FF57AE"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1554" w:type="dxa"/>
          </w:tcPr>
          <w:p w14:paraId="6CD3A81E" w14:textId="77777777" w:rsidR="00516F03" w:rsidRPr="00105B89" w:rsidRDefault="00516F03" w:rsidP="008C1DD6">
            <w:pPr>
              <w:autoSpaceDE w:val="0"/>
              <w:autoSpaceDN w:val="0"/>
              <w:adjustRightInd w:val="0"/>
              <w:rPr>
                <w:rFonts w:ascii="Times-Roman" w:hAnsi="Times-Roman" w:cs="Times-Roman"/>
                <w:b/>
                <w:sz w:val="15"/>
                <w:szCs w:val="15"/>
              </w:rPr>
            </w:pPr>
          </w:p>
          <w:p w14:paraId="0EE5750C"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645" w:type="dxa"/>
            <w:tcBorders>
              <w:right w:val="single" w:sz="4" w:space="0" w:color="auto"/>
            </w:tcBorders>
          </w:tcPr>
          <w:p w14:paraId="13C80170" w14:textId="77777777" w:rsidR="00516F03" w:rsidRPr="00105B89" w:rsidRDefault="00516F03" w:rsidP="008C1DD6">
            <w:pPr>
              <w:autoSpaceDE w:val="0"/>
              <w:autoSpaceDN w:val="0"/>
              <w:adjustRightInd w:val="0"/>
              <w:spacing w:before="120" w:after="120"/>
              <w:rPr>
                <w:rFonts w:ascii="Times-Roman" w:hAnsi="Times-Roman" w:cs="Times-Roman"/>
                <w:b/>
                <w:sz w:val="15"/>
                <w:szCs w:val="15"/>
                <w:vertAlign w:val="superscript"/>
              </w:rPr>
            </w:pPr>
            <w:r w:rsidRPr="00105B89">
              <w:rPr>
                <w:rFonts w:ascii="Times-Roman" w:hAnsi="Times-Roman" w:cs="Times-Roman"/>
                <w:b/>
                <w:sz w:val="15"/>
                <w:szCs w:val="15"/>
              </w:rPr>
              <w:t>Metric 4</w:t>
            </w:r>
            <w:r w:rsidRPr="00105B89">
              <w:rPr>
                <w:rFonts w:ascii="Times-Roman" w:hAnsi="Times-Roman" w:cs="Times-Roman"/>
                <w:b/>
                <w:sz w:val="15"/>
                <w:szCs w:val="15"/>
                <w:vertAlign w:val="superscript"/>
              </w:rPr>
              <w:t>****</w:t>
            </w:r>
          </w:p>
        </w:tc>
        <w:tc>
          <w:tcPr>
            <w:tcW w:w="1645" w:type="dxa"/>
            <w:tcBorders>
              <w:left w:val="single" w:sz="4" w:space="0" w:color="auto"/>
              <w:right w:val="single" w:sz="4" w:space="0" w:color="auto"/>
            </w:tcBorders>
          </w:tcPr>
          <w:p w14:paraId="7AEBE260" w14:textId="77777777" w:rsidR="00516F03" w:rsidRPr="00105B89" w:rsidRDefault="00516F03" w:rsidP="008C1DD6">
            <w:pPr>
              <w:autoSpaceDE w:val="0"/>
              <w:autoSpaceDN w:val="0"/>
              <w:adjustRightInd w:val="0"/>
              <w:spacing w:before="120"/>
              <w:rPr>
                <w:rFonts w:ascii="Times-Roman" w:hAnsi="Times-Roman" w:cs="Times-Roman"/>
                <w:b/>
                <w:sz w:val="15"/>
                <w:szCs w:val="15"/>
                <w:vertAlign w:val="superscript"/>
              </w:rPr>
            </w:pPr>
            <w:r w:rsidRPr="00105B89">
              <w:rPr>
                <w:rFonts w:ascii="Times-Roman" w:hAnsi="Times-Roman" w:cs="Times-Roman"/>
                <w:b/>
                <w:sz w:val="15"/>
                <w:szCs w:val="15"/>
              </w:rPr>
              <w:t>Metric 5</w:t>
            </w:r>
            <w:r w:rsidRPr="00105B89">
              <w:rPr>
                <w:rFonts w:ascii="Times-Roman" w:hAnsi="Times-Roman" w:cs="Times-Roman"/>
                <w:b/>
                <w:sz w:val="15"/>
                <w:szCs w:val="15"/>
                <w:vertAlign w:val="superscript"/>
              </w:rPr>
              <w:t>*****</w:t>
            </w:r>
          </w:p>
        </w:tc>
        <w:tc>
          <w:tcPr>
            <w:tcW w:w="1468" w:type="dxa"/>
            <w:tcBorders>
              <w:left w:val="single" w:sz="4" w:space="0" w:color="auto"/>
            </w:tcBorders>
          </w:tcPr>
          <w:p w14:paraId="46588206" w14:textId="77777777" w:rsidR="00516F03" w:rsidRPr="00105B89" w:rsidRDefault="00516F03" w:rsidP="008C1DD6">
            <w:pPr>
              <w:autoSpaceDE w:val="0"/>
              <w:autoSpaceDN w:val="0"/>
              <w:adjustRightInd w:val="0"/>
              <w:spacing w:before="120" w:after="120" w:line="360" w:lineRule="auto"/>
              <w:rPr>
                <w:rFonts w:ascii="Times-Roman" w:hAnsi="Times-Roman" w:cs="Times-Roman"/>
                <w:b/>
                <w:sz w:val="15"/>
                <w:szCs w:val="15"/>
              </w:rPr>
            </w:pPr>
            <w:r w:rsidRPr="00105B89">
              <w:rPr>
                <w:rFonts w:ascii="Times-Roman" w:hAnsi="Times-Roman" w:cs="Times-Roman"/>
                <w:b/>
                <w:sz w:val="15"/>
                <w:szCs w:val="15"/>
              </w:rPr>
              <w:t>Accuracy (95%)</w:t>
            </w:r>
          </w:p>
        </w:tc>
      </w:tr>
      <w:tr w:rsidR="00516F03" w:rsidRPr="000B6889" w14:paraId="0EC734D3" w14:textId="77777777" w:rsidTr="008C1DD6">
        <w:trPr>
          <w:trHeight w:val="387"/>
        </w:trPr>
        <w:tc>
          <w:tcPr>
            <w:tcW w:w="822" w:type="dxa"/>
          </w:tcPr>
          <w:p w14:paraId="09BCB23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1</w:t>
            </w:r>
          </w:p>
        </w:tc>
        <w:tc>
          <w:tcPr>
            <w:tcW w:w="1645" w:type="dxa"/>
          </w:tcPr>
          <w:p w14:paraId="270E6444"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0.982(0.971</w:t>
            </w:r>
            <w:r w:rsidRPr="00F15BD4">
              <w:rPr>
                <w:rFonts w:ascii="Times-Roman" w:hAnsi="Times-Roman" w:cs="Times-Roman"/>
                <w:sz w:val="16"/>
                <w:szCs w:val="16"/>
              </w:rPr>
              <w:t>-0.99</w:t>
            </w:r>
            <w:r>
              <w:rPr>
                <w:rFonts w:ascii="Times-Roman" w:hAnsi="Times-Roman" w:cs="Times-Roman"/>
                <w:sz w:val="16"/>
                <w:szCs w:val="16"/>
              </w:rPr>
              <w:t>3)</w:t>
            </w:r>
          </w:p>
        </w:tc>
        <w:tc>
          <w:tcPr>
            <w:tcW w:w="1737" w:type="dxa"/>
          </w:tcPr>
          <w:p w14:paraId="6E294E9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0.952(0.886-1.01</w:t>
            </w:r>
            <w:r w:rsidRPr="00F15BD4">
              <w:rPr>
                <w:rFonts w:ascii="Times-Roman" w:hAnsi="Times-Roman" w:cs="Times-Roman"/>
                <w:sz w:val="16"/>
                <w:szCs w:val="16"/>
              </w:rPr>
              <w:t>0)</w:t>
            </w:r>
          </w:p>
        </w:tc>
        <w:tc>
          <w:tcPr>
            <w:tcW w:w="1554" w:type="dxa"/>
          </w:tcPr>
          <w:p w14:paraId="41B887B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0.966(0.960</w:t>
            </w:r>
            <w:r w:rsidRPr="00F15BD4">
              <w:rPr>
                <w:rFonts w:ascii="Times-Roman" w:hAnsi="Times-Roman" w:cs="Times-Roman"/>
                <w:sz w:val="16"/>
                <w:szCs w:val="16"/>
              </w:rPr>
              <w:t>-0.97</w:t>
            </w:r>
            <w:r>
              <w:rPr>
                <w:rFonts w:ascii="Times-Roman" w:hAnsi="Times-Roman" w:cs="Times-Roman"/>
                <w:sz w:val="16"/>
                <w:szCs w:val="16"/>
              </w:rPr>
              <w:t>3)</w:t>
            </w:r>
          </w:p>
        </w:tc>
        <w:tc>
          <w:tcPr>
            <w:tcW w:w="1645" w:type="dxa"/>
            <w:tcBorders>
              <w:right w:val="single" w:sz="4" w:space="0" w:color="auto"/>
            </w:tcBorders>
          </w:tcPr>
          <w:p w14:paraId="5F3B4C5F" w14:textId="77777777" w:rsidR="00516F03" w:rsidRPr="000B6889" w:rsidRDefault="00516F03" w:rsidP="008C1DD6">
            <w:pPr>
              <w:autoSpaceDE w:val="0"/>
              <w:autoSpaceDN w:val="0"/>
              <w:adjustRightInd w:val="0"/>
              <w:rPr>
                <w:rFonts w:ascii="Times-Roman" w:hAnsi="Times-Roman" w:cs="Times-Roman"/>
                <w:sz w:val="16"/>
                <w:szCs w:val="16"/>
              </w:rPr>
            </w:pPr>
            <w:r w:rsidRPr="00883FC7">
              <w:rPr>
                <w:rFonts w:ascii="Times-Roman" w:hAnsi="Times-Roman" w:cs="Times-Roman"/>
                <w:sz w:val="16"/>
                <w:szCs w:val="16"/>
              </w:rPr>
              <w:t>0.260(0.190-0.330)</w:t>
            </w:r>
          </w:p>
        </w:tc>
        <w:tc>
          <w:tcPr>
            <w:tcW w:w="1645" w:type="dxa"/>
            <w:tcBorders>
              <w:left w:val="single" w:sz="4" w:space="0" w:color="auto"/>
              <w:right w:val="single" w:sz="4" w:space="0" w:color="auto"/>
            </w:tcBorders>
          </w:tcPr>
          <w:p w14:paraId="00EDD100"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0.998(0.998-1.01</w:t>
            </w:r>
            <w:r w:rsidRPr="00883FC7">
              <w:rPr>
                <w:rFonts w:ascii="Times-Roman" w:hAnsi="Times-Roman" w:cs="Times-Roman"/>
                <w:sz w:val="16"/>
                <w:szCs w:val="16"/>
              </w:rPr>
              <w:t>0)</w:t>
            </w:r>
          </w:p>
        </w:tc>
        <w:tc>
          <w:tcPr>
            <w:tcW w:w="1468" w:type="dxa"/>
            <w:tcBorders>
              <w:left w:val="single" w:sz="4" w:space="0" w:color="auto"/>
            </w:tcBorders>
          </w:tcPr>
          <w:p w14:paraId="3E77A379"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0.97(0.967-0.976</w:t>
            </w:r>
            <w:r w:rsidRPr="00F15BD4">
              <w:rPr>
                <w:rFonts w:ascii="Times-Roman" w:hAnsi="Times-Roman" w:cs="Times-Roman"/>
                <w:sz w:val="16"/>
                <w:szCs w:val="16"/>
              </w:rPr>
              <w:t>)</w:t>
            </w:r>
          </w:p>
        </w:tc>
      </w:tr>
      <w:tr w:rsidR="00516F03" w:rsidRPr="000B6889" w14:paraId="1A90BCB4" w14:textId="77777777" w:rsidTr="008C1DD6">
        <w:trPr>
          <w:trHeight w:val="275"/>
        </w:trPr>
        <w:tc>
          <w:tcPr>
            <w:tcW w:w="822" w:type="dxa"/>
          </w:tcPr>
          <w:p w14:paraId="0B4235C2" w14:textId="77777777" w:rsidR="00516F03" w:rsidRPr="00F15BD4" w:rsidRDefault="00516F03" w:rsidP="008C1DD6">
            <w:pPr>
              <w:autoSpaceDE w:val="0"/>
              <w:autoSpaceDN w:val="0"/>
              <w:adjustRightInd w:val="0"/>
              <w:rPr>
                <w:rFonts w:ascii="Times-Roman" w:hAnsi="Times-Roman" w:cs="Times-Roman"/>
                <w:sz w:val="16"/>
                <w:szCs w:val="16"/>
              </w:rPr>
            </w:pPr>
            <w:r w:rsidRPr="00F15BD4">
              <w:rPr>
                <w:rFonts w:ascii="Times-Roman" w:hAnsi="Times-Roman" w:cs="Times-Roman"/>
                <w:sz w:val="16"/>
                <w:szCs w:val="16"/>
              </w:rPr>
              <w:t>Model 2</w:t>
            </w:r>
          </w:p>
        </w:tc>
        <w:tc>
          <w:tcPr>
            <w:tcW w:w="1645" w:type="dxa"/>
          </w:tcPr>
          <w:p w14:paraId="06150250" w14:textId="77777777" w:rsidR="00516F03" w:rsidRPr="00F15BD4"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0.651(0.572-0.724</w:t>
            </w:r>
            <w:r w:rsidRPr="00B87A62">
              <w:rPr>
                <w:rFonts w:ascii="Times-Roman" w:hAnsi="Times-Roman" w:cs="Times-Roman"/>
                <w:sz w:val="16"/>
                <w:szCs w:val="16"/>
              </w:rPr>
              <w:t>)</w:t>
            </w:r>
          </w:p>
        </w:tc>
        <w:tc>
          <w:tcPr>
            <w:tcW w:w="1737" w:type="dxa"/>
          </w:tcPr>
          <w:p w14:paraId="6F06585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0.710(0.569-0.845</w:t>
            </w:r>
            <w:r w:rsidRPr="00B87A62">
              <w:rPr>
                <w:rFonts w:ascii="Times-Roman" w:hAnsi="Times-Roman" w:cs="Times-Roman"/>
                <w:sz w:val="16"/>
                <w:szCs w:val="16"/>
              </w:rPr>
              <w:t>)</w:t>
            </w:r>
          </w:p>
        </w:tc>
        <w:tc>
          <w:tcPr>
            <w:tcW w:w="1554" w:type="dxa"/>
          </w:tcPr>
          <w:p w14:paraId="6177813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0.570(0.553-0.587</w:t>
            </w:r>
            <w:r w:rsidRPr="00B87A62">
              <w:rPr>
                <w:rFonts w:ascii="Times-Roman" w:hAnsi="Times-Roman" w:cs="Times-Roman"/>
                <w:sz w:val="16"/>
                <w:szCs w:val="16"/>
              </w:rPr>
              <w:t>)</w:t>
            </w:r>
          </w:p>
        </w:tc>
        <w:tc>
          <w:tcPr>
            <w:tcW w:w="1645" w:type="dxa"/>
            <w:tcBorders>
              <w:right w:val="single" w:sz="4" w:space="0" w:color="auto"/>
            </w:tcBorders>
          </w:tcPr>
          <w:p w14:paraId="40A591D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0.022(0.014-0.029</w:t>
            </w:r>
            <w:r w:rsidRPr="00B87A62">
              <w:rPr>
                <w:rFonts w:ascii="Times-Roman" w:hAnsi="Times-Roman" w:cs="Times-Roman"/>
                <w:sz w:val="16"/>
                <w:szCs w:val="16"/>
              </w:rPr>
              <w:t xml:space="preserve">) </w:t>
            </w:r>
          </w:p>
        </w:tc>
        <w:tc>
          <w:tcPr>
            <w:tcW w:w="1645" w:type="dxa"/>
            <w:tcBorders>
              <w:left w:val="single" w:sz="4" w:space="0" w:color="auto"/>
              <w:right w:val="single" w:sz="4" w:space="0" w:color="auto"/>
            </w:tcBorders>
          </w:tcPr>
          <w:p w14:paraId="2AD9DEE5"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0.994(0.991-0.998</w:t>
            </w:r>
            <w:r w:rsidRPr="00B87A62">
              <w:rPr>
                <w:rFonts w:ascii="Times-Roman" w:hAnsi="Times-Roman" w:cs="Times-Roman"/>
                <w:sz w:val="16"/>
                <w:szCs w:val="16"/>
              </w:rPr>
              <w:t>)</w:t>
            </w:r>
          </w:p>
        </w:tc>
        <w:tc>
          <w:tcPr>
            <w:tcW w:w="1468" w:type="dxa"/>
            <w:tcBorders>
              <w:left w:val="single" w:sz="4" w:space="0" w:color="auto"/>
            </w:tcBorders>
          </w:tcPr>
          <w:p w14:paraId="0348CA9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0.57(0.570-0.572)</w:t>
            </w:r>
          </w:p>
        </w:tc>
      </w:tr>
      <w:tr w:rsidR="00516F03" w:rsidRPr="000B6889" w14:paraId="1C2CE41E" w14:textId="77777777" w:rsidTr="008C1DD6">
        <w:trPr>
          <w:trHeight w:val="275"/>
        </w:trPr>
        <w:tc>
          <w:tcPr>
            <w:tcW w:w="822" w:type="dxa"/>
          </w:tcPr>
          <w:p w14:paraId="3DA40190" w14:textId="77777777" w:rsidR="00516F03" w:rsidRPr="00F15BD4" w:rsidRDefault="00516F03" w:rsidP="008C1DD6">
            <w:pPr>
              <w:autoSpaceDE w:val="0"/>
              <w:autoSpaceDN w:val="0"/>
              <w:adjustRightInd w:val="0"/>
              <w:rPr>
                <w:rFonts w:ascii="Times-Roman" w:hAnsi="Times-Roman" w:cs="Times-Roman"/>
                <w:sz w:val="16"/>
                <w:szCs w:val="16"/>
              </w:rPr>
            </w:pPr>
            <w:r w:rsidRPr="00F15BD4">
              <w:rPr>
                <w:rFonts w:ascii="Times-Roman" w:hAnsi="Times-Roman" w:cs="Times-Roman"/>
                <w:sz w:val="16"/>
                <w:szCs w:val="16"/>
              </w:rPr>
              <w:t>Model 3</w:t>
            </w:r>
          </w:p>
        </w:tc>
        <w:tc>
          <w:tcPr>
            <w:tcW w:w="1645" w:type="dxa"/>
          </w:tcPr>
          <w:p w14:paraId="57DCB652" w14:textId="77777777" w:rsidR="00516F03" w:rsidRPr="00F15BD4"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0.818(0.801-0.893</w:t>
            </w:r>
            <w:r w:rsidRPr="007934C0">
              <w:rPr>
                <w:rFonts w:ascii="Times-Roman" w:hAnsi="Times-Roman" w:cs="Times-Roman"/>
                <w:sz w:val="16"/>
                <w:szCs w:val="16"/>
              </w:rPr>
              <w:t>)</w:t>
            </w:r>
          </w:p>
        </w:tc>
        <w:tc>
          <w:tcPr>
            <w:tcW w:w="1737" w:type="dxa"/>
          </w:tcPr>
          <w:p w14:paraId="494B4CC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0.684</w:t>
            </w:r>
            <w:r w:rsidRPr="00F26774">
              <w:rPr>
                <w:rFonts w:ascii="Times-Roman" w:hAnsi="Times-Roman" w:cs="Times-Roman"/>
                <w:sz w:val="16"/>
                <w:szCs w:val="16"/>
              </w:rPr>
              <w:t>(0.54</w:t>
            </w:r>
            <w:r>
              <w:rPr>
                <w:rFonts w:ascii="Times-Roman" w:hAnsi="Times-Roman" w:cs="Times-Roman"/>
                <w:sz w:val="16"/>
                <w:szCs w:val="16"/>
              </w:rPr>
              <w:t>1-0.826</w:t>
            </w:r>
            <w:r w:rsidRPr="00F26774">
              <w:rPr>
                <w:rFonts w:ascii="Times-Roman" w:hAnsi="Times-Roman" w:cs="Times-Roman"/>
                <w:sz w:val="16"/>
                <w:szCs w:val="16"/>
              </w:rPr>
              <w:t xml:space="preserve">) </w:t>
            </w:r>
          </w:p>
        </w:tc>
        <w:tc>
          <w:tcPr>
            <w:tcW w:w="1554" w:type="dxa"/>
          </w:tcPr>
          <w:p w14:paraId="68CDDBE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0.890(0.881-0.900)</w:t>
            </w:r>
          </w:p>
        </w:tc>
        <w:tc>
          <w:tcPr>
            <w:tcW w:w="1645" w:type="dxa"/>
            <w:tcBorders>
              <w:right w:val="single" w:sz="4" w:space="0" w:color="auto"/>
            </w:tcBorders>
          </w:tcPr>
          <w:p w14:paraId="3C7992F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0.075</w:t>
            </w:r>
            <w:r w:rsidRPr="00F26774">
              <w:rPr>
                <w:rFonts w:ascii="Times-Roman" w:hAnsi="Times-Roman" w:cs="Times-Roman"/>
                <w:sz w:val="16"/>
                <w:szCs w:val="16"/>
              </w:rPr>
              <w:t>(</w:t>
            </w:r>
            <w:r>
              <w:rPr>
                <w:rFonts w:ascii="Times-Roman" w:hAnsi="Times-Roman" w:cs="Times-Roman"/>
                <w:sz w:val="16"/>
                <w:szCs w:val="16"/>
              </w:rPr>
              <w:t>0.050-0.101</w:t>
            </w:r>
            <w:r w:rsidRPr="00F26774">
              <w:rPr>
                <w:rFonts w:ascii="Times-Roman" w:hAnsi="Times-Roman" w:cs="Times-Roman"/>
                <w:sz w:val="16"/>
                <w:szCs w:val="16"/>
              </w:rPr>
              <w:t xml:space="preserve">) </w:t>
            </w:r>
          </w:p>
        </w:tc>
        <w:tc>
          <w:tcPr>
            <w:tcW w:w="1645" w:type="dxa"/>
            <w:tcBorders>
              <w:left w:val="single" w:sz="4" w:space="0" w:color="auto"/>
              <w:right w:val="single" w:sz="4" w:space="0" w:color="auto"/>
            </w:tcBorders>
          </w:tcPr>
          <w:p w14:paraId="1F08F9F6"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0.996(0.994-0.999</w:t>
            </w:r>
            <w:r w:rsidRPr="00F26774">
              <w:rPr>
                <w:rFonts w:ascii="Times-Roman" w:hAnsi="Times-Roman" w:cs="Times-Roman"/>
                <w:sz w:val="16"/>
                <w:szCs w:val="16"/>
              </w:rPr>
              <w:t>)</w:t>
            </w:r>
          </w:p>
        </w:tc>
        <w:tc>
          <w:tcPr>
            <w:tcW w:w="1468" w:type="dxa"/>
            <w:tcBorders>
              <w:left w:val="single" w:sz="4" w:space="0" w:color="auto"/>
            </w:tcBorders>
          </w:tcPr>
          <w:p w14:paraId="366A041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0.89(0.887-0.889</w:t>
            </w:r>
            <w:r w:rsidRPr="00F26774">
              <w:rPr>
                <w:rFonts w:ascii="Times-Roman" w:hAnsi="Times-Roman" w:cs="Times-Roman"/>
                <w:sz w:val="16"/>
                <w:szCs w:val="16"/>
              </w:rPr>
              <w:t>)</w:t>
            </w:r>
          </w:p>
        </w:tc>
      </w:tr>
      <w:tr w:rsidR="00516F03" w14:paraId="2B04C7AB" w14:textId="77777777" w:rsidTr="008C1DD6">
        <w:trPr>
          <w:trHeight w:val="275"/>
        </w:trPr>
        <w:tc>
          <w:tcPr>
            <w:tcW w:w="822" w:type="dxa"/>
          </w:tcPr>
          <w:p w14:paraId="013817FD"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4</w:t>
            </w:r>
          </w:p>
        </w:tc>
        <w:tc>
          <w:tcPr>
            <w:tcW w:w="1645" w:type="dxa"/>
          </w:tcPr>
          <w:p w14:paraId="5FFCE427"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 xml:space="preserve">0.850(0.785-0.915) </w:t>
            </w:r>
          </w:p>
        </w:tc>
        <w:tc>
          <w:tcPr>
            <w:tcW w:w="1737" w:type="dxa"/>
          </w:tcPr>
          <w:p w14:paraId="03C9A28F"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0.829(0.714-0.944)</w:t>
            </w:r>
          </w:p>
        </w:tc>
        <w:tc>
          <w:tcPr>
            <w:tcW w:w="1554" w:type="dxa"/>
          </w:tcPr>
          <w:p w14:paraId="696E0696"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0.752(0.738-0.767)</w:t>
            </w:r>
          </w:p>
        </w:tc>
        <w:tc>
          <w:tcPr>
            <w:tcW w:w="1645" w:type="dxa"/>
            <w:tcBorders>
              <w:right w:val="single" w:sz="4" w:space="0" w:color="auto"/>
            </w:tcBorders>
          </w:tcPr>
          <w:p w14:paraId="3CFFA300"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0.042(0.029</w:t>
            </w:r>
            <w:r w:rsidRPr="00FE46F4">
              <w:rPr>
                <w:rFonts w:ascii="Times-Roman" w:hAnsi="Times-Roman" w:cs="Times-Roman"/>
                <w:sz w:val="16"/>
                <w:szCs w:val="16"/>
              </w:rPr>
              <w:t>-0.055)</w:t>
            </w:r>
          </w:p>
        </w:tc>
        <w:tc>
          <w:tcPr>
            <w:tcW w:w="1645" w:type="dxa"/>
            <w:tcBorders>
              <w:left w:val="single" w:sz="4" w:space="0" w:color="auto"/>
              <w:right w:val="single" w:sz="4" w:space="0" w:color="auto"/>
            </w:tcBorders>
          </w:tcPr>
          <w:p w14:paraId="361D102A"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0.998(0.996-1.000</w:t>
            </w:r>
            <w:r w:rsidRPr="00FE46F4">
              <w:rPr>
                <w:rFonts w:ascii="Times-Roman" w:hAnsi="Times-Roman" w:cs="Times-Roman"/>
                <w:sz w:val="16"/>
                <w:szCs w:val="16"/>
              </w:rPr>
              <w:t>)</w:t>
            </w:r>
          </w:p>
        </w:tc>
        <w:tc>
          <w:tcPr>
            <w:tcW w:w="1468" w:type="dxa"/>
            <w:tcBorders>
              <w:left w:val="single" w:sz="4" w:space="0" w:color="auto"/>
            </w:tcBorders>
          </w:tcPr>
          <w:p w14:paraId="1401FAF2"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0.76(0.754-0.756</w:t>
            </w:r>
            <w:r w:rsidRPr="00FE46F4">
              <w:rPr>
                <w:rFonts w:ascii="Times-Roman" w:hAnsi="Times-Roman" w:cs="Times-Roman"/>
                <w:sz w:val="16"/>
                <w:szCs w:val="16"/>
              </w:rPr>
              <w:t>)</w:t>
            </w:r>
          </w:p>
        </w:tc>
      </w:tr>
      <w:tr w:rsidR="00516F03" w14:paraId="0CD28426" w14:textId="77777777" w:rsidTr="008C1DD6">
        <w:trPr>
          <w:trHeight w:val="288"/>
        </w:trPr>
        <w:tc>
          <w:tcPr>
            <w:tcW w:w="822" w:type="dxa"/>
          </w:tcPr>
          <w:p w14:paraId="716CB5F9"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5</w:t>
            </w:r>
          </w:p>
        </w:tc>
        <w:tc>
          <w:tcPr>
            <w:tcW w:w="1645" w:type="dxa"/>
          </w:tcPr>
          <w:p w14:paraId="728DFCE7"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0.978(0.967-0.989</w:t>
            </w:r>
            <w:r w:rsidRPr="006A19A3">
              <w:rPr>
                <w:rFonts w:ascii="Times-Roman" w:hAnsi="Times-Roman" w:cs="Times-Roman"/>
                <w:sz w:val="16"/>
                <w:szCs w:val="16"/>
              </w:rPr>
              <w:t xml:space="preserve">) </w:t>
            </w:r>
          </w:p>
        </w:tc>
        <w:tc>
          <w:tcPr>
            <w:tcW w:w="1737" w:type="dxa"/>
          </w:tcPr>
          <w:p w14:paraId="4C2C160A"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0.951(0.885-1.000)</w:t>
            </w:r>
          </w:p>
        </w:tc>
        <w:tc>
          <w:tcPr>
            <w:tcW w:w="1554" w:type="dxa"/>
          </w:tcPr>
          <w:p w14:paraId="52565BAB"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0.926(0.917-0.935)</w:t>
            </w:r>
          </w:p>
        </w:tc>
        <w:tc>
          <w:tcPr>
            <w:tcW w:w="1645" w:type="dxa"/>
            <w:tcBorders>
              <w:right w:val="single" w:sz="4" w:space="0" w:color="auto"/>
            </w:tcBorders>
          </w:tcPr>
          <w:p w14:paraId="56078763"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0.142(0.100-0.184</w:t>
            </w:r>
            <w:r w:rsidRPr="006A19A3">
              <w:rPr>
                <w:rFonts w:ascii="Times-Roman" w:hAnsi="Times-Roman" w:cs="Times-Roman"/>
                <w:sz w:val="16"/>
                <w:szCs w:val="16"/>
              </w:rPr>
              <w:t>)</w:t>
            </w:r>
          </w:p>
        </w:tc>
        <w:tc>
          <w:tcPr>
            <w:tcW w:w="1645" w:type="dxa"/>
            <w:tcBorders>
              <w:left w:val="single" w:sz="4" w:space="0" w:color="auto"/>
              <w:right w:val="single" w:sz="4" w:space="0" w:color="auto"/>
            </w:tcBorders>
          </w:tcPr>
          <w:p w14:paraId="79E1B9C0"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0.999(0.998-1.000)</w:t>
            </w:r>
          </w:p>
        </w:tc>
        <w:tc>
          <w:tcPr>
            <w:tcW w:w="1468" w:type="dxa"/>
            <w:tcBorders>
              <w:left w:val="single" w:sz="4" w:space="0" w:color="auto"/>
            </w:tcBorders>
          </w:tcPr>
          <w:p w14:paraId="63A00451"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w:t>
            </w:r>
            <w:r>
              <w:rPr>
                <w:rFonts w:ascii="Times-Roman" w:hAnsi="Times-Roman" w:cs="Times-Roman"/>
                <w:sz w:val="16"/>
                <w:szCs w:val="16"/>
              </w:rPr>
              <w:t>.93</w:t>
            </w:r>
            <w:r w:rsidRPr="006A19A3">
              <w:rPr>
                <w:rFonts w:ascii="Times-Roman" w:hAnsi="Times-Roman" w:cs="Times-Roman"/>
                <w:sz w:val="16"/>
                <w:szCs w:val="16"/>
              </w:rPr>
              <w:t>(0.926-0.926)</w:t>
            </w:r>
          </w:p>
        </w:tc>
      </w:tr>
    </w:tbl>
    <w:p w14:paraId="03246ECA" w14:textId="77777777" w:rsidR="00516F03" w:rsidRDefault="00516F03" w:rsidP="00516F03">
      <w:pPr>
        <w:pStyle w:val="Heading1"/>
        <w:keepNext w:val="0"/>
        <w:keepLines w:val="0"/>
        <w:widowControl w:val="0"/>
        <w:numPr>
          <w:ilvl w:val="0"/>
          <w:numId w:val="31"/>
        </w:numPr>
        <w:spacing w:before="0" w:after="0"/>
        <w:ind w:left="0" w:right="0" w:firstLine="0"/>
        <w:jc w:val="left"/>
        <w:rPr>
          <w:b/>
        </w:rPr>
        <w:sectPr w:rsidR="00516F03" w:rsidSect="004B2C37">
          <w:headerReference w:type="default" r:id="rId39"/>
          <w:headerReference w:type="first" r:id="rId40"/>
          <w:headerReference w:type="even" r:id="rId41"/>
          <w:type w:val="continuous"/>
          <w:pgSz w:w="12240" w:h="15846" w:code="1"/>
          <w:pgMar w:top="1440" w:right="1440" w:bottom="1440" w:left="1440" w:header="432" w:footer="432" w:gutter="0"/>
          <w:cols w:space="288" w:num="1"/>
          <w:lnNumType w:countBy="1" w:distance="360" w:restart="continuous" w:numStart="1"/>
          <w:pgNumType/>
        </w:sectPr>
      </w:pPr>
    </w:p>
    <w:p w14:paraId="27BAEBB7" w14:textId="77777777" w:rsidR="00516F03" w:rsidRPr="00105B89" w:rsidRDefault="00516F03" w:rsidP="00516F03">
      <w:pPr>
        <w:pStyle w:val="Heading1"/>
        <w:keepNext w:val="0"/>
        <w:keepLines w:val="0"/>
        <w:widowControl w:val="0"/>
        <w:numPr>
          <w:ilvl w:val="0"/>
          <w:numId w:val="28"/>
        </w:numPr>
        <w:spacing w:before="0" w:after="0"/>
        <w:ind w:left="0" w:right="0" w:firstLine="0"/>
        <w:jc w:val="left"/>
        <w:rPr>
          <w:b/>
        </w:rPr>
      </w:pPr>
      <w:r w:rsidRPr="00105B89">
        <w:rPr>
          <w:rFonts w:ascii="Minion Pro" w:hAnsi="Minion Pro"/>
          <w:b/>
          <w:i w:val="0"/>
          <w:color w:val="000000"/>
          <w:sz w:val="22"/>
          <w:u w:val="none"/>
        </w:rPr>
        <w:t>Conclusion</w:t>
      </w:r>
    </w:p>
    <w:p w14:paraId="48F18507" w14:textId="77777777" w:rsidR="00516F03" w:rsidRDefault="00516F03" w:rsidP="00516F03">
      <w:pPr>
        <w:keepNext w:val="0"/>
        <w:keepLines w:val="0"/>
        <w:widowControl w:val="0"/>
        <w:autoSpaceDE w:val="0"/>
        <w:autoSpaceDN w:val="0"/>
        <w:adjustRightInd w:val="0"/>
        <w:spacing w:before="0" w:after="0"/>
        <w:ind w:left="0" w:right="0" w:firstLine="0"/>
        <w:jc w:val="both"/>
        <w:sectPr w:rsidR="00516F03" w:rsidSect="000A5E68">
          <w:headerReference w:type="default" r:id="rId42"/>
          <w:headerReference w:type="first" r:id="rId43"/>
          <w:headerReference w:type="even" r:id="rId44"/>
          <w:type w:val="continuous"/>
          <w:pgSz w:w="12240" w:h="15846" w:code="1"/>
          <w:pgMar w:top="1440" w:right="1440" w:bottom="1440" w:left="1440" w:header="432" w:footer="432" w:gutter="0"/>
          <w:cols w:num="1" w:space="288"/>
          <w:lnNumType w:countBy="1" w:distance="360" w:restart="continuous" w:numStart="1"/>
          <w:pgNumType/>
        </w:sectPr>
      </w:pPr>
    </w:p>
    <w:p w14:paraId="74893B33" w14:textId="77777777" w:rsidR="00516F03" w:rsidRDefault="00516F03" w:rsidP="00516F03">
      <w:pPr>
        <w:keepNext w:val="0"/>
        <w:keepLines w:val="0"/>
        <w:widowControl w:val="0"/>
        <w:autoSpaceDE w:val="0"/>
        <w:autoSpaceDN w:val="0"/>
        <w:adjustRightInd w:val="0"/>
        <w:spacing w:before="0" w:after="0"/>
        <w:ind w:left="0" w:right="0" w:firstLine="0"/>
        <w:jc w:val="both"/>
      </w:pPr>
      <w:r w:rsidRPr="00105B89">
        <w:rPr>
          <w:rFonts w:ascii="Minion Pro" w:hAnsi="Minion Pro"/>
          <w:i w:val="0"/>
          <w:color w:val="000000"/>
          <w:sz w:val="20"/>
          <w:u w:val="none"/>
        </w:rPr>
        <w:t>Three machine learning</w:t>
      </w:r>
      <w:r w:rsidR="00F71DDC" w:rsidRPr="00105B89">
        <w:rPr>
          <w:rFonts w:ascii="Minion Pro" w:hAnsi="Minion Pro"/>
          <w:i w:val="0"/>
          <w:color w:val="000000"/>
          <w:sz w:val="20"/>
          <w:u w:val="none"/>
        </w:rPr>
        <w:fldChar w:fldCharType="begin" w:fldLock="1"/>
      </w:r>
      <w:r w:rsidRPr="00105B89">
        <w:rPr>
          <w:rFonts w:ascii="Minion Pro" w:hAnsi="Minion Pro"/>
          <w:i w:val="0"/>
          <w:color w:val="000000"/>
          <w:sz w:val="20"/>
          <w:u w:val="none"/>
        </w:rPr>
        <w:instrText>ADDIN CSL_CITATION {"citationItems":[{"id":"ITEM-1","itemData":{"DOI":"10.1007/s42979-021-00592-x","ISSN":"26618907","abstract":"In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Science","id":"ITEM-1","issue":"3","issued":{"date-parts":[["2021"]]},"title":"Machine Learning: Algorithms, Real-World Applications and Research Directions","type":"article-journal","volume":"2"},"uris":["http://www.mendeley.com/documents/?uuid=48687f80-057b-491b-8637-3e485c20e29b"]}],"mendeley":{"formattedCitation":"[26]","plainTextFormattedCitation":"[26]","previouslyFormattedCitation":"[26]"},"properties":{"noteIndex":0},"schema":"https://github.com/citation-style-language/schema/raw/master/csl-citation.json"}</w:instrText>
      </w:r>
      <w:r w:rsidR="00F71DDC" w:rsidRPr="00105B89">
        <w:rPr>
          <w:rFonts w:ascii="Minion Pro" w:hAnsi="Minion Pro"/>
          <w:i w:val="0"/>
          <w:color w:val="000000"/>
          <w:sz w:val="20"/>
          <w:u w:val="none"/>
        </w:rPr>
        <w:fldChar w:fldCharType="separate"/>
      </w:r>
      <w:r w:rsidRPr="00105B89">
        <w:rPr>
          <w:rFonts w:ascii="Minion Pro" w:hAnsi="Minion Pro"/>
          <w:i w:val="0"/>
          <w:noProof/>
          <w:color w:val="000000"/>
          <w:sz w:val="20"/>
          <w:u w:val="none"/>
        </w:rPr>
        <w:t>[26]</w:t>
      </w:r>
      <w:r w:rsidR="00F71DDC" w:rsidRPr="00105B89">
        <w:rPr>
          <w:rFonts w:ascii="Minion Pro" w:hAnsi="Minion Pro"/>
          <w:i w:val="0"/>
          <w:color w:val="000000"/>
          <w:sz w:val="20"/>
          <w:u w:val="none"/>
        </w:rPr>
        <w:fldChar w:fldCharType="end"/>
      </w:r>
      <w:r w:rsidRPr="00105B89">
        <w:rPr>
          <w:rFonts w:ascii="Minion Pro" w:hAnsi="Minion Pro"/>
          <w:i w:val="0"/>
          <w:color w:val="000000"/>
          <w:sz w:val="20"/>
          <w:u w:val="none"/>
        </w:rPr>
        <w:t>models (KNN, ANN, and SVM) and the existing OSTA model which is a self-assessment tool for osteoporosis are compared according to their outcomes but</w:t>
      </w:r>
      <w:r w:rsidRPr="00105B89">
        <w:rPr>
          <w:rFonts w:ascii="Minion Pro" w:hAnsi="Minion Pro"/>
          <w:i w:val="0"/>
          <w:color w:val="000000"/>
          <w:sz w:val="20"/>
          <w:u w:val="none"/>
        </w:rPr>
        <w:t>the results showed the efficiency of the proposed model. The specificity and sensitivity are observed and calculated with the termination value but the prediction by ML models was much</w:t>
      </w:r>
      <w:r w:rsidRPr="00105B89">
        <w:rPr>
          <w:rFonts w:ascii="Minion Pro" w:hAnsi="Minion Pro"/>
          <w:i w:val="0"/>
          <w:color w:val="000000"/>
          <w:sz w:val="20"/>
          <w:u w:val="none"/>
        </w:rPr>
        <w:lastRenderedPageBreak/>
        <w:t>better than the OSTA</w:t>
      </w:r>
      <w:r w:rsidR="00F71DDC" w:rsidRPr="00105B89">
        <w:rPr>
          <w:rFonts w:ascii="Minion Pro" w:hAnsi="Minion Pro"/>
          <w:i w:val="0"/>
          <w:color w:val="000000"/>
          <w:sz w:val="20"/>
          <w:u w:val="none"/>
        </w:rPr>
        <w:fldChar w:fldCharType="begin" w:fldLock="1"/>
      </w:r>
      <w:r w:rsidRPr="00105B89">
        <w:rPr>
          <w:rFonts w:ascii="Minion Pro" w:hAnsi="Minion Pro"/>
          <w:i w:val="0"/>
          <w:color w:val="000000"/>
          <w:sz w:val="20"/>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105B89">
        <w:rPr>
          <w:rFonts w:ascii="Minion Pro" w:hAnsi="Minion Pro"/>
          <w:i w:val="0"/>
          <w:color w:val="000000"/>
          <w:sz w:val="20"/>
          <w:u w:val="none"/>
        </w:rPr>
        <w:fldChar w:fldCharType="separate"/>
      </w:r>
      <w:r w:rsidRPr="00105B89">
        <w:rPr>
          <w:rFonts w:ascii="Minion Pro" w:hAnsi="Minion Pro"/>
          <w:i w:val="0"/>
          <w:noProof/>
          <w:color w:val="000000"/>
          <w:sz w:val="20"/>
          <w:u w:val="none"/>
        </w:rPr>
        <w:t>[7]</w:t>
      </w:r>
      <w:r w:rsidR="00F71DDC" w:rsidRPr="00105B89">
        <w:rPr>
          <w:rFonts w:ascii="Minion Pro" w:hAnsi="Minion Pro"/>
          <w:i w:val="0"/>
          <w:color w:val="000000"/>
          <w:sz w:val="20"/>
          <w:u w:val="none"/>
        </w:rPr>
        <w:fldChar w:fldCharType="end"/>
      </w:r>
      <w:r w:rsidRPr="00105B89">
        <w:rPr>
          <w:rFonts w:ascii="Minion Pro" w:hAnsi="Minion Pro"/>
          <w:i w:val="0"/>
          <w:color w:val="000000"/>
          <w:sz w:val="20"/>
          <w:u w:val="none"/>
        </w:rPr>
        <w:t>model. There were also some terminations points added in the models to make the algorithms work more efficiently and these models provided 71% to 95% sensitive and 57% to 92% specific results and reached AUROC of 0.767–0.978 in women. The outcome of our discussed machine learning models was almost similar with s slight differences in results but they outperform the OSTA, a traditional model for the prediction of osteoporosis. Regarding the performance of ML models, it is tough to finally, draw a winner but using these models to predict the presence of osteoporosis will be a great help for the patients and physiologists. Applying the same models to the different datasets from Taiwan, Korea, and China we got to know that ANN showed most of higher r</w:t>
      </w:r>
      <w:r>
        <w:rPr>
          <w:rFonts w:ascii="Minion Pro" w:hAnsi="Minion Pro"/>
          <w:i w:val="0"/>
          <w:color w:val="000000"/>
          <w:sz w:val="20"/>
          <w:u w:val="none"/>
        </w:rPr>
        <w:t>esults than all other ML models</w:t>
      </w:r>
    </w:p>
    <w:p w14:paraId="4FB115AD" w14:textId="77777777" w:rsidR="00516F03" w:rsidRPr="000A5E68" w:rsidRDefault="00516F03" w:rsidP="00516F03">
      <w:pPr>
        <w:pStyle w:val="ListParagraph"/>
        <w:keepNext w:val="0"/>
        <w:keepLines w:val="0"/>
        <w:widowControl w:val="0"/>
        <w:numPr>
          <w:ilvl w:val="0"/>
          <w:numId w:val="28"/>
        </w:numPr>
        <w:autoSpaceDE w:val="0"/>
        <w:autoSpaceDN w:val="0"/>
        <w:adjustRightInd w:val="0"/>
        <w:spacing w:before="0" w:after="0"/>
        <w:ind w:left="0" w:right="0" w:firstLine="0"/>
        <w:jc w:val="both"/>
      </w:pPr>
      <w:r w:rsidRPr="00516F03">
        <w:rPr>
          <w:rFonts w:ascii="Minion Pro" w:hAnsi="Minion Pro"/>
          <w:b/>
          <w:i w:val="0"/>
          <w:color w:val="000000"/>
          <w:sz w:val="20"/>
          <w:u w:val="none"/>
        </w:rPr>
        <w:t>Recommendations:</w:t>
      </w:r>
    </w:p>
    <w:p w14:paraId="57997B51" w14:textId="77777777" w:rsidR="00516F03" w:rsidRPr="00105B89" w:rsidRDefault="00516F03" w:rsidP="00516F03">
      <w:pPr>
        <w:keepNext w:val="0"/>
        <w:keepLines w:val="0"/>
        <w:widowControl w:val="0"/>
        <w:autoSpaceDE w:val="0"/>
        <w:autoSpaceDN w:val="0"/>
        <w:adjustRightInd w:val="0"/>
        <w:spacing w:before="0" w:after="0"/>
        <w:ind w:left="0" w:right="0" w:firstLine="0"/>
        <w:jc w:val="both"/>
      </w:pPr>
      <w:r w:rsidRPr="00105B89">
        <w:rPr>
          <w:rFonts w:ascii="Minion Pro" w:hAnsi="Minion Pro"/>
          <w:i w:val="0"/>
          <w:color w:val="000000"/>
          <w:sz w:val="20"/>
          <w:u w:val="none"/>
        </w:rPr>
        <w:t>The projected rate for patients with osteoporosis is expected to increase tremendously in the coming future. If the forecasted ratio of osteoporosis became a reality then the next generations will face the crisis of osteoporotic fractures. But we will have new techniques and treatments to overcome this issue with the best prediction tools beforehand.</w:t>
      </w:r>
    </w:p>
    <w:p w14:paraId="361CBABA"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Early Screening and Diagnosis:</w:t>
      </w:r>
    </w:p>
    <w:p w14:paraId="0734456B"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rsidRPr="00105B89">
        <w:rPr>
          <w:rFonts w:ascii="Minion Pro" w:hAnsi="Minion Pro"/>
          <w:i w:val="0"/>
          <w:color w:val="000000"/>
          <w:sz w:val="20"/>
          <w:u w:val="none"/>
        </w:rPr>
        <w:t>Implement widespread screening initiatives through government health services or public health programs to find people who have poor bone density and need treatment, starting at gender-specific ages suitable for each population and using country-specific screening thresholds.</w:t>
      </w:r>
    </w:p>
    <w:p w14:paraId="7B57D729"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Promote creative, targeted population awareness</w:t>
      </w:r>
    </w:p>
    <w:p w14:paraId="73E6300F"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rsidRPr="00105B89">
        <w:rPr>
          <w:rFonts w:ascii="Minion Pro" w:hAnsi="Minion Pro"/>
          <w:i w:val="0"/>
          <w:color w:val="000000"/>
          <w:sz w:val="20"/>
          <w:u w:val="none"/>
        </w:rPr>
        <w:t>Spreading awareness of risk assessment initiatives with the help of accessible and targeted tools, like web-based health screening campaigns (like the Know Your</w:t>
      </w:r>
      <w:proofErr w:type="spellStart"/>
      <w:r w:rsidRPr="00105B89">
        <w:rPr>
          <w:rFonts w:ascii="Minion Pro" w:hAnsi="Minion Pro"/>
          <w:i w:val="0"/>
          <w:color w:val="000000"/>
          <w:sz w:val="20"/>
          <w:u w:val="none"/>
        </w:rPr>
        <w:t>BonesTM</w:t>
      </w:r>
      <w:proofErr w:type="spellEnd"/>
      <w:r w:rsidRPr="00105B89">
        <w:rPr>
          <w:rFonts w:ascii="Minion Pro" w:hAnsi="Minion Pro"/>
          <w:i w:val="0"/>
          <w:color w:val="000000"/>
          <w:sz w:val="20"/>
          <w:u w:val="none"/>
        </w:rPr>
        <w:t>online tool).</w:t>
      </w:r>
    </w:p>
    <w:p w14:paraId="60CEAC81"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T-notch tools and classifiers:</w:t>
      </w:r>
    </w:p>
    <w:p w14:paraId="73BCB0D8"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rsidRPr="00105B89">
        <w:rPr>
          <w:rFonts w:ascii="Minion Pro" w:hAnsi="Minion Pro"/>
          <w:i w:val="0"/>
          <w:color w:val="000000"/>
          <w:sz w:val="20"/>
          <w:u w:val="none"/>
        </w:rPr>
        <w:t>The use of high-class tools (such as dual-energy x-ray absorptiometry (DXA) scanners) to standardize diagnostic and data-gathering</w:t>
      </w:r>
      <w:proofErr w:type="spellStart"/>
      <w:r w:rsidRPr="00105B89">
        <w:rPr>
          <w:rFonts w:ascii="Minion Pro" w:hAnsi="Minion Pro"/>
          <w:i w:val="0"/>
          <w:color w:val="000000"/>
          <w:sz w:val="20"/>
          <w:u w:val="none"/>
        </w:rPr>
        <w:t>procedures.the</w:t>
      </w:r>
      <w:proofErr w:type="spellEnd"/>
      <w:r w:rsidRPr="00105B89">
        <w:rPr>
          <w:rFonts w:ascii="Minion Pro" w:hAnsi="Minion Pro"/>
          <w:i w:val="0"/>
          <w:color w:val="000000"/>
          <w:sz w:val="20"/>
          <w:u w:val="none"/>
        </w:rPr>
        <w:t>data gathering system should be more appropriate and open because of the veracity and variety in data regarding age, gender, living conditions, etc. causing issues in training the data sets, before actual testing. The researchers have to separately train the data of males and females due to their different selected features and living habits.</w:t>
      </w:r>
    </w:p>
    <w:p w14:paraId="28D94276"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Precision of Model</w:t>
      </w:r>
    </w:p>
    <w:p w14:paraId="31D7633D"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rsidRPr="00105B89">
        <w:rPr>
          <w:rFonts w:ascii="Minion Pro" w:hAnsi="Minion Pro"/>
          <w:i w:val="0"/>
          <w:color w:val="000000"/>
          <w:sz w:val="20"/>
          <w:u w:val="none"/>
        </w:rPr>
        <w:t>The precision of the model can only be assured if all the features regarding participants are common, so the data fields in training data sets should not be empty or missing. This thing also causes variations in the results.</w:t>
      </w:r>
    </w:p>
    <w:p w14:paraId="2F06E1BE" w14:textId="77777777" w:rsidR="00516F03" w:rsidRPr="00105B89" w:rsidRDefault="00516F03" w:rsidP="00516F03">
      <w:pPr>
        <w:keepNext w:val="0"/>
        <w:keepLines w:val="0"/>
        <w:widowControl w:val="0"/>
        <w:autoSpaceDE w:val="0"/>
        <w:autoSpaceDN w:val="0"/>
        <w:adjustRightInd w:val="0"/>
        <w:spacing w:before="0" w:after="0"/>
        <w:ind w:left="0" w:right="0" w:firstLine="0"/>
        <w:jc w:val="both"/>
      </w:pPr>
      <w:r w:rsidRPr="00105B89">
        <w:rPr>
          <w:rFonts w:ascii="Minion Pro" w:hAnsi="Minion Pro"/>
          <w:i w:val="0"/>
          <w:color w:val="000000"/>
          <w:sz w:val="20"/>
          <w:u w:val="none"/>
        </w:rPr>
        <w:t>According to the SCOPE study, the ratio of osteoporosis and its causing diseases will increase by 20% by 2035.As the chances of expansion of osteoporosis in the future are more than present, so researchers and field experts should tend to focus on some important aspects in the prediction of osteoporosis to get rid of it or at least control it in the earlier stages. As a whole, some things should be addressed in future research to make the prediction models work more reliably</w:t>
      </w:r>
      <w:r w:rsidRPr="00105B89">
        <w:rPr>
          <w:rFonts w:ascii="Minion Pro" w:hAnsi="Minion Pro"/>
          <w:i w:val="0"/>
          <w:color w:val="000000"/>
          <w:sz w:val="20"/>
          <w:u w:val="none"/>
        </w:rPr>
        <w:t>and efficiently because the accurate prediction of osteoporosis can lead to a better way of treatment beforehand.</w:t>
      </w:r>
    </w:p>
    <w:p w14:paraId="360F13E9" w14:textId="77777777" w:rsidR="00387663" w:rsidRDefault="00387663" w:rsidP="00516F03">
      <w:pPr>
        <w:pStyle w:val="bullets"/>
        <w:keepNext w:val="0"/>
        <w:keepLines w:val="0"/>
        <w:widowControl w:val="0"/>
        <w:spacing w:before="0" w:after="0"/>
        <w:ind w:left="0" w:right="0" w:firstLine="0"/>
        <w:jc w:val="both"/>
      </w:pPr>
    </w:p>
    <w:p w14:paraId="7B7B9BF8" w14:textId="77777777" w:rsidR="00516F03" w:rsidRPr="00387663" w:rsidRDefault="00387663" w:rsidP="00516F03">
      <w:pPr>
        <w:pStyle w:val="bullets"/>
        <w:keepNext w:val="0"/>
        <w:keepLines w:val="0"/>
        <w:widowControl w:val="0"/>
        <w:spacing w:before="0" w:after="0"/>
        <w:ind w:left="0" w:right="0" w:firstLine="0"/>
        <w:jc w:val="both"/>
        <w:rPr>
          <w:b/>
          <w:bCs/>
        </w:rPr>
      </w:pPr>
      <w:r w:rsidRPr="00387663">
        <w:rPr>
          <w:rFonts w:ascii="Minion Pro" w:hAnsi="Minion Pro"/>
          <w:b/>
          <w:bCs/>
          <w:i w:val="0"/>
          <w:color w:val="000000"/>
          <w:sz w:val="20"/>
          <w:u w:val="none"/>
        </w:rPr>
        <w:t>Conflict of Interest</w:t>
      </w:r>
    </w:p>
    <w:p w14:paraId="501B807D" w14:textId="77777777" w:rsidR="00387663" w:rsidRDefault="00387663" w:rsidP="00516F03">
      <w:pPr>
        <w:pStyle w:val="bullets"/>
        <w:keepNext w:val="0"/>
        <w:keepLines w:val="0"/>
        <w:widowControl w:val="0"/>
        <w:spacing w:before="0" w:after="0"/>
        <w:ind w:left="0" w:right="0" w:firstLine="0"/>
        <w:jc w:val="both"/>
      </w:pPr>
      <w:r>
        <w:rPr>
          <w:rFonts w:ascii="Minion Pro" w:hAnsi="Minion Pro"/>
          <w:i w:val="0"/>
          <w:color w:val="000000"/>
          <w:sz w:val="20"/>
          <w:u w:val="none"/>
        </w:rPr>
        <w:t>The authors declare no conflict of interest in this research.</w:t>
      </w:r>
    </w:p>
    <w:p w14:paraId="4A1D1DF1" w14:textId="77777777" w:rsidR="00387663" w:rsidRDefault="00387663" w:rsidP="00516F03">
      <w:pPr>
        <w:pStyle w:val="bullets"/>
        <w:keepNext w:val="0"/>
        <w:keepLines w:val="0"/>
        <w:widowControl w:val="0"/>
        <w:spacing w:before="0" w:after="0"/>
        <w:ind w:left="0" w:right="0" w:firstLine="0"/>
        <w:jc w:val="both"/>
      </w:pPr>
    </w:p>
    <w:p w14:paraId="5A127AEB" w14:textId="77777777" w:rsidR="00516F03" w:rsidRPr="00105B89" w:rsidRDefault="00516F03" w:rsidP="00516F03">
      <w:pPr>
        <w:pStyle w:val="Headng1"/>
        <w:keepNext w:val="0"/>
        <w:keepLines w:val="0"/>
        <w:widowControl w:val="0"/>
        <w:spacing w:before="0" w:after="0"/>
        <w:ind w:left="0" w:right="0" w:firstLine="0"/>
        <w:jc w:val="both"/>
      </w:pPr>
      <w:r>
        <w:rPr>
          <w:rFonts w:ascii="Minion Pro" w:hAnsi="Minion Pro"/>
          <w:i w:val="0"/>
          <w:color w:val="000000"/>
          <w:sz w:val="20"/>
          <w:u w:val="none"/>
        </w:rPr>
        <w:t>References:</w:t>
      </w:r>
    </w:p>
    <w:p w14:paraId="12027772" w14:textId="77777777" w:rsidR="00080A7B" w:rsidRPr="00080A7B" w:rsidRDefault="00F71DDC" w:rsidP="00080A7B">
      <w:pPr>
        <w:keepNext w:val="0"/>
        <w:keepLines w:val="0"/>
        <w:widowControl w:val="0"/>
        <w:autoSpaceDE w:val="0"/>
        <w:autoSpaceDN w:val="0"/>
        <w:adjustRightInd w:val="0"/>
        <w:spacing w:after="0" w:before="0"/>
        <w:ind w:left="0" w:right="0" w:firstLine="0"/>
        <w:jc w:val="both"/>
        <w:rPr>
          <w:noProof/>
          <w:sz w:val="16"/>
          <w:szCs w:val="24"/>
        </w:rPr>
      </w:pPr>
      <w:r w:rsidRPr="00105B89">
        <w:rPr>
          <w:rFonts w:ascii="Minion Pro" w:hAnsi="Minion Pro"/>
          <w:i w:val="0"/>
          <w:color w:val="000000"/>
          <w:sz w:val="20"/>
          <w:szCs w:val="16"/>
          <w:u w:val="none"/>
        </w:rPr>
        <w:fldChar w:fldCharType="begin" w:fldLock="1"/>
      </w:r>
      <w:r w:rsidR="00516F03" w:rsidRPr="00105B89">
        <w:rPr>
          <w:rFonts w:ascii="Minion Pro" w:hAnsi="Minion Pro"/>
          <w:i w:val="0"/>
          <w:color w:val="000000"/>
          <w:sz w:val="20"/>
          <w:szCs w:val="16"/>
          <w:u w:val="none"/>
        </w:rPr>
        <w:instrText xml:space="preserve">ADDIN Mendeley Bibliography CSL_BIBLIOGRAPHY </w:instrText>
      </w:r>
      <w:r w:rsidRPr="00105B89">
        <w:rPr>
          <w:rFonts w:ascii="Minion Pro" w:hAnsi="Minion Pro"/>
          <w:i w:val="0"/>
          <w:color w:val="000000"/>
          <w:sz w:val="20"/>
          <w:szCs w:val="16"/>
          <w:u w:val="none"/>
        </w:rPr>
        <w:fldChar w:fldCharType="separate"/>
      </w:r>
      <w:r w:rsidR="00080A7B" w:rsidRPr="00080A7B">
        <w:rPr>
          <w:rFonts w:ascii="Minion Pro" w:hAnsi="Minion Pro"/>
          <w:i w:val="0"/>
          <w:noProof/>
          <w:color w:val="000000"/>
          <w:sz w:val="20"/>
          <w:szCs w:val="24"/>
          <w:u w:val="none"/>
        </w:rPr>
        <w:t>[1]</w:t>
      </w:r>
      <w:r w:rsidR="00080A7B" w:rsidRPr="00080A7B">
        <w:rPr>
          <w:rFonts w:ascii="Minion Pro" w:hAnsi="Minion Pro"/>
          <w:i w:val="0"/>
          <w:noProof/>
          <w:color w:val="000000"/>
          <w:sz w:val="20"/>
          <w:szCs w:val="24"/>
          <w:u w:val="none"/>
        </w:rPr>
        <w:t>P. R. Ebeling, H. H. Nguyen, J. Aleksova, A. J. Vincent, P. Wong, and F. Milat, “Secondary Osteoporosis,”</w:t>
      </w:r>
      <w:r w:rsidR="00080A7B" w:rsidRPr="00080A7B">
        <w:rPr>
          <w:rFonts w:ascii="Minion Pro" w:hAnsi="Minion Pro"/>
          <w:i w:val="0"/>
          <w:iCs/>
          <w:noProof/>
          <w:color w:val="000000"/>
          <w:sz w:val="20"/>
          <w:szCs w:val="24"/>
          <w:u w:val="none"/>
        </w:rPr>
        <w:t>Endocr. Rev.</w:t>
      </w:r>
      <w:r w:rsidR="00080A7B" w:rsidRPr="00080A7B">
        <w:rPr>
          <w:rFonts w:ascii="Minion Pro" w:hAnsi="Minion Pro"/>
          <w:i w:val="0"/>
          <w:noProof/>
          <w:color w:val="000000"/>
          <w:sz w:val="20"/>
          <w:szCs w:val="24"/>
          <w:u w:val="none"/>
        </w:rPr>
        <w:t>, vol. 43, no. 2, pp. 240–313, 2022, doi: 10.1210/endrev/bnab028.</w:t>
      </w:r>
    </w:p>
    <w:p w14:paraId="03ACFD60"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w:t>
      </w:r>
      <w:r w:rsidRPr="00080A7B">
        <w:rPr>
          <w:rFonts w:ascii="Minion Pro" w:hAnsi="Minion Pro"/>
          <w:i w:val="0"/>
          <w:noProof/>
          <w:color w:val="000000"/>
          <w:sz w:val="20"/>
          <w:szCs w:val="24"/>
          <w:u w:val="none"/>
        </w:rPr>
        <w:t>S. Zhang</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“Effect of exercise on bone mineral density among patients with osteoporosis and osteopenia: A systematic review and network meta-analysis,”</w:t>
      </w:r>
      <w:r w:rsidRPr="00080A7B">
        <w:rPr>
          <w:rFonts w:ascii="Minion Pro" w:hAnsi="Minion Pro"/>
          <w:i w:val="0"/>
          <w:iCs/>
          <w:noProof/>
          <w:color w:val="000000"/>
          <w:sz w:val="20"/>
          <w:szCs w:val="24"/>
          <w:u w:val="none"/>
        </w:rPr>
        <w:t>J. Clin. Nurs.</w:t>
      </w:r>
      <w:r w:rsidRPr="00080A7B">
        <w:rPr>
          <w:rFonts w:ascii="Minion Pro" w:hAnsi="Minion Pro"/>
          <w:i w:val="0"/>
          <w:noProof/>
          <w:color w:val="000000"/>
          <w:sz w:val="20"/>
          <w:szCs w:val="24"/>
          <w:u w:val="none"/>
        </w:rPr>
        <w:t>, vol. 31, no. 15–16, pp. 2100–2111, 2022, doi: 10.1111/jocn.16101.</w:t>
      </w:r>
    </w:p>
    <w:p w14:paraId="1E80FEC1"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[3]</w:t>
      </w:r>
      <w:r w:rsidRPr="00080A7B">
        <w:rPr>
          <w:rFonts w:ascii="Minion Pro" w:hAnsi="Minion Pro"/>
          <w:i w:val="0"/>
          <w:noProof/>
          <w:color w:val="000000"/>
          <w:sz w:val="20"/>
          <w:szCs w:val="24"/>
          <w:u w:val="none"/>
        </w:rPr>
        <w:t>K. Raichandani, S. Agarwal, H. Jain, and N. Bharwani, “Mortality profile after 2 years of hip fractures in elderly patients treated with early surgery,”</w:t>
      </w:r>
      <w:r w:rsidRPr="00080A7B">
        <w:rPr>
          <w:rFonts w:ascii="Minion Pro" w:hAnsi="Minion Pro"/>
          <w:i w:val="0"/>
          <w:iCs/>
          <w:noProof/>
          <w:color w:val="000000"/>
          <w:sz w:val="20"/>
          <w:szCs w:val="24"/>
          <w:u w:val="none"/>
        </w:rPr>
        <w:t>J. Clin. Orthop. Trauma</w:t>
      </w:r>
      <w:r w:rsidRPr="00080A7B">
        <w:rPr>
          <w:rFonts w:ascii="Minion Pro" w:hAnsi="Minion Pro"/>
          <w:i w:val="0"/>
          <w:noProof/>
          <w:color w:val="000000"/>
          <w:sz w:val="20"/>
          <w:szCs w:val="24"/>
          <w:u w:val="none"/>
        </w:rPr>
        <w:t>, vol. 18, no. March 2022, pp. 1–5, 2021, doi: 10.1016/j.jcot.2021.04.009.</w:t>
      </w:r>
    </w:p>
    <w:p w14:paraId="55B9F267"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[4]</w:t>
      </w:r>
      <w:r w:rsidRPr="00080A7B">
        <w:rPr>
          <w:rFonts w:ascii="Minion Pro" w:hAnsi="Minion Pro"/>
          <w:i w:val="0"/>
          <w:noProof/>
          <w:color w:val="000000"/>
          <w:sz w:val="20"/>
          <w:szCs w:val="24"/>
          <w:u w:val="none"/>
        </w:rPr>
        <w:t>E. Kirilova, N. Kirilov, F. Bischoff, S. Vladeva, N. Nikolov, and M. Nikolov, “Prevalence of low bone mineral density at axial sites and fracture risk in Bulgarian population,” vol. 14, no. 4, 2022.</w:t>
      </w:r>
    </w:p>
    <w:p w14:paraId="59952D69"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[5]</w:t>
      </w:r>
      <w:r w:rsidRPr="00080A7B">
        <w:rPr>
          <w:rFonts w:ascii="Minion Pro" w:hAnsi="Minion Pro"/>
          <w:i w:val="0"/>
          <w:noProof/>
          <w:color w:val="000000"/>
          <w:sz w:val="20"/>
          <w:szCs w:val="24"/>
          <w:u w:val="none"/>
        </w:rPr>
        <w:t>M. Lorentzon</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“Osteoporosis and fractures in women: the burden of disease,”</w:t>
      </w:r>
      <w:r w:rsidRPr="00080A7B">
        <w:rPr>
          <w:rFonts w:ascii="Minion Pro" w:hAnsi="Minion Pro"/>
          <w:i w:val="0"/>
          <w:iCs/>
          <w:noProof/>
          <w:color w:val="000000"/>
          <w:sz w:val="20"/>
          <w:szCs w:val="24"/>
          <w:u w:val="none"/>
        </w:rPr>
        <w:t>Climacteric</w:t>
      </w:r>
      <w:r w:rsidRPr="00080A7B">
        <w:rPr>
          <w:rFonts w:ascii="Minion Pro" w:hAnsi="Minion Pro"/>
          <w:i w:val="0"/>
          <w:noProof/>
          <w:color w:val="000000"/>
          <w:sz w:val="20"/>
          <w:szCs w:val="24"/>
          <w:u w:val="none"/>
        </w:rPr>
        <w:t>, vol. 25, no. 1, pp. 4–10, 2022, doi: 10.1080/13697137.2021.1951206.</w:t>
      </w:r>
    </w:p>
    <w:p w14:paraId="4AFC06BC"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[6]</w:t>
      </w:r>
      <w:r w:rsidRPr="00080A7B">
        <w:rPr>
          <w:rFonts w:ascii="Minion Pro" w:hAnsi="Minion Pro"/>
          <w:i w:val="0"/>
          <w:noProof/>
          <w:color w:val="000000"/>
          <w:sz w:val="20"/>
          <w:szCs w:val="24"/>
          <w:u w:val="none"/>
        </w:rPr>
        <w:t>F. Rehman, S. I. Ali Shah, M. N. Riaz, S. O. Gilani, and F. R, “A Region-Based Deep Level Set Formulation for Vertebral Bone Segmentation of Osteoporotic Fractures,”</w:t>
      </w:r>
      <w:r w:rsidRPr="00080A7B">
        <w:rPr>
          <w:rFonts w:ascii="Minion Pro" w:hAnsi="Minion Pro"/>
          <w:i w:val="0"/>
          <w:iCs/>
          <w:noProof/>
          <w:color w:val="000000"/>
          <w:sz w:val="20"/>
          <w:szCs w:val="24"/>
          <w:u w:val="none"/>
        </w:rPr>
        <w:t>J. Digit. Imaging</w:t>
      </w:r>
      <w:r w:rsidRPr="00080A7B">
        <w:rPr>
          <w:rFonts w:ascii="Minion Pro" w:hAnsi="Minion Pro"/>
          <w:i w:val="0"/>
          <w:noProof/>
          <w:color w:val="000000"/>
          <w:sz w:val="20"/>
          <w:szCs w:val="24"/>
          <w:u w:val="none"/>
        </w:rPr>
        <w:t>, vol. 33, no. 1, pp. 191–203, 2020, doi: 10.1007/s10278-019-00216-0.</w:t>
      </w:r>
    </w:p>
    <w:p w14:paraId="419B4239"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[7]</w:t>
      </w:r>
      <w:r w:rsidRPr="00080A7B">
        <w:rPr>
          <w:rFonts w:ascii="Minion Pro" w:hAnsi="Minion Pro"/>
          <w:i w:val="0"/>
          <w:noProof/>
          <w:color w:val="000000"/>
          <w:sz w:val="20"/>
          <w:szCs w:val="24"/>
          <w:u w:val="none"/>
        </w:rPr>
        <w:t>W. Y. O. Yang, C. C. Lai, M. T. Tsou, and L. C. Hwang, “Development of machine learning models for prediction of osteoporosis from clinical health examination data,”</w:t>
      </w:r>
      <w:r w:rsidRPr="00080A7B">
        <w:rPr>
          <w:rFonts w:ascii="Minion Pro" w:hAnsi="Minion Pro"/>
          <w:i w:val="0"/>
          <w:iCs/>
          <w:noProof/>
          <w:color w:val="000000"/>
          <w:sz w:val="20"/>
          <w:szCs w:val="24"/>
          <w:u w:val="none"/>
        </w:rPr>
        <w:t>Int. J. Environ. Res. Public Health</w:t>
      </w:r>
      <w:r w:rsidRPr="00080A7B">
        <w:rPr>
          <w:rFonts w:ascii="Minion Pro" w:hAnsi="Minion Pro"/>
          <w:i w:val="0"/>
          <w:noProof/>
          <w:color w:val="000000"/>
          <w:sz w:val="20"/>
          <w:szCs w:val="24"/>
          <w:u w:val="none"/>
        </w:rPr>
        <w:t>, vol. 18, no. 14, 2021, doi: 10.3390/ijerph18147635.</w:t>
      </w:r>
    </w:p>
    <w:p w14:paraId="7C485C12"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[8]</w:t>
      </w:r>
      <w:r w:rsidRPr="00080A7B">
        <w:rPr>
          <w:rFonts w:ascii="Minion Pro" w:hAnsi="Minion Pro"/>
          <w:i w:val="0"/>
          <w:noProof/>
          <w:color w:val="000000"/>
          <w:sz w:val="20"/>
          <w:szCs w:val="24"/>
          <w:u w:val="none"/>
        </w:rPr>
        <w:t>R. S. Hussein and M. M. Wahdan, “Knowledge about Symptoms and Risk Factors of Osteoporosis among Adult Women in Cairo, Egypt,”</w:t>
      </w:r>
      <w:r w:rsidRPr="00080A7B">
        <w:rPr>
          <w:rFonts w:ascii="Minion Pro" w:hAnsi="Minion Pro"/>
          <w:i w:val="0"/>
          <w:iCs/>
          <w:noProof/>
          <w:color w:val="000000"/>
          <w:sz w:val="20"/>
          <w:szCs w:val="24"/>
          <w:u w:val="none"/>
        </w:rPr>
        <w:t>Egypt. J. Community Med.</w:t>
      </w:r>
      <w:r w:rsidRPr="00080A7B">
        <w:rPr>
          <w:rFonts w:ascii="Minion Pro" w:hAnsi="Minion Pro"/>
          <w:i w:val="0"/>
          <w:noProof/>
          <w:color w:val="000000"/>
          <w:sz w:val="20"/>
          <w:szCs w:val="24"/>
          <w:u w:val="none"/>
        </w:rPr>
        <w:t>, vol. 39, no. 2, pp. 59–68, 2021, doi: 10.21608/ejcm.2021.167553.</w:t>
      </w:r>
    </w:p>
    <w:p w14:paraId="7F0116CC"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[9]</w:t>
      </w:r>
      <w:r w:rsidRPr="00080A7B">
        <w:rPr>
          <w:rFonts w:ascii="Minion Pro" w:hAnsi="Minion Pro"/>
          <w:i w:val="0"/>
          <w:noProof/>
          <w:color w:val="000000"/>
          <w:sz w:val="20"/>
          <w:szCs w:val="24"/>
          <w:u w:val="none"/>
        </w:rPr>
        <w:t>F. Rehman, S. I. A. Shah, S. Omer Gilani, D. Emad, M. Naveed Riaz, and R. Faiza, “A Novel Framework to Segment out Cervical Vertebrae,”</w:t>
      </w:r>
      <w:r w:rsidRPr="00080A7B">
        <w:rPr>
          <w:rFonts w:ascii="Minion Pro" w:hAnsi="Minion Pro"/>
          <w:i w:val="0"/>
          <w:iCs/>
          <w:noProof/>
          <w:color w:val="000000"/>
          <w:sz w:val="20"/>
          <w:szCs w:val="24"/>
          <w:u w:val="none"/>
        </w:rPr>
        <w:t>2019 2nd Int. Conf. Commun. Comput. Digit. Syst. C-CODE 2019</w:t>
      </w:r>
      <w:r w:rsidRPr="00080A7B">
        <w:rPr>
          <w:rFonts w:ascii="Minion Pro" w:hAnsi="Minion Pro"/>
          <w:i w:val="0"/>
          <w:noProof/>
          <w:color w:val="000000"/>
          <w:sz w:val="20"/>
          <w:szCs w:val="24"/>
          <w:u w:val="none"/>
        </w:rPr>
        <w:t>, no. March, pp. 190–194, 2019, doi: 10.1109/C-CODE.2019.8680994.</w:t>
      </w:r>
    </w:p>
    <w:p w14:paraId="67D47E7A"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[10]</w:t>
      </w:r>
      <w:r w:rsidRPr="00080A7B">
        <w:rPr>
          <w:rFonts w:ascii="Minion Pro" w:hAnsi="Minion Pro"/>
          <w:i w:val="0"/>
          <w:noProof/>
          <w:color w:val="000000"/>
          <w:sz w:val="20"/>
          <w:szCs w:val="24"/>
          <w:u w:val="none"/>
        </w:rPr>
        <w:t>T. Johnson, E. Fox, and S. Hassanbein, “Implementing an Electronic Medical Record Osteoporosis Self-Assessment Tool Score Which Identifies Patients at Risk for Osteoporosis Promotes Osteoporosis Evaluation,”</w:t>
      </w:r>
      <w:r w:rsidRPr="00080A7B">
        <w:rPr>
          <w:rFonts w:ascii="Minion Pro" w:hAnsi="Minion Pro"/>
          <w:i w:val="0"/>
          <w:iCs/>
          <w:noProof/>
          <w:color w:val="000000"/>
          <w:sz w:val="20"/>
          <w:szCs w:val="24"/>
          <w:u w:val="none"/>
        </w:rPr>
        <w:t>Geriatr. Orthop. Surg. Rehabil.</w:t>
      </w:r>
      <w:r w:rsidRPr="00080A7B">
        <w:rPr>
          <w:rFonts w:ascii="Minion Pro" w:hAnsi="Minion Pro"/>
          <w:i w:val="0"/>
          <w:noProof/>
          <w:color w:val="000000"/>
          <w:sz w:val="20"/>
          <w:szCs w:val="24"/>
          <w:u w:val="none"/>
        </w:rPr>
        <w:t>, vol. 12, pp. 1–9, 2021, doi: 10.1177/21514593211002157.</w:t>
      </w:r>
    </w:p>
    <w:p w14:paraId="5E04FD96"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[11]</w:t>
      </w:r>
      <w:r w:rsidRPr="00080A7B">
        <w:rPr>
          <w:rFonts w:ascii="Minion Pro" w:hAnsi="Minion Pro"/>
          <w:i w:val="0"/>
          <w:noProof/>
          <w:color w:val="000000"/>
          <w:sz w:val="20"/>
          <w:szCs w:val="24"/>
          <w:u w:val="none"/>
        </w:rPr>
        <w:t>K. Purohit, A. Kesarwani, D. Ranjan Kisku, and M. Dalui, “COVID-19 Detection on Chest X-Ray and CT Scan Images Using Multi-image Augmented Deep Learning Model,” pp. 395–413, 2022, doi: 10.1007/978-981-16-6890-6_30.</w:t>
      </w:r>
    </w:p>
    <w:p w14:paraId="00815995"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[12]</w:t>
      </w:r>
      <w:r w:rsidRPr="00080A7B">
        <w:rPr>
          <w:rFonts w:ascii="Minion Pro" w:hAnsi="Minion Pro"/>
          <w:i w:val="0"/>
          <w:noProof/>
          <w:color w:val="000000"/>
          <w:sz w:val="20"/>
          <w:szCs w:val="24"/>
          <w:u w:val="none"/>
        </w:rPr>
        <w:t>S. H. Kong</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“Development of a Spine X-Ray-Based Fracture Prediction Model Using a Deep Learning Algorithm,”</w:t>
      </w:r>
      <w:r w:rsidRPr="00080A7B">
        <w:rPr>
          <w:rFonts w:ascii="Minion Pro" w:hAnsi="Minion Pro"/>
          <w:i w:val="0"/>
          <w:iCs/>
          <w:noProof/>
          <w:color w:val="000000"/>
          <w:sz w:val="20"/>
          <w:szCs w:val="24"/>
          <w:u w:val="none"/>
        </w:rPr>
        <w:t>Endocrinol. Metab.</w:t>
      </w:r>
      <w:r w:rsidRPr="00080A7B">
        <w:rPr>
          <w:rFonts w:ascii="Minion Pro" w:hAnsi="Minion Pro"/>
          <w:i w:val="0"/>
          <w:noProof/>
          <w:color w:val="000000"/>
          <w:sz w:val="20"/>
          <w:szCs w:val="24"/>
          <w:u w:val="none"/>
        </w:rPr>
        <w:t>, vol. 37, no. 4, pp. 674–683, 2022, doi: 10.3803/enm.2022.1461.</w:t>
      </w:r>
    </w:p>
    <w:p w14:paraId="7D5666CB"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[13]</w:t>
      </w:r>
      <w:r w:rsidRPr="00080A7B">
        <w:rPr>
          <w:rFonts w:ascii="Minion Pro" w:hAnsi="Minion Pro"/>
          <w:i w:val="0"/>
          <w:noProof/>
          <w:color w:val="000000"/>
          <w:sz w:val="20"/>
          <w:szCs w:val="24"/>
          <w:u w:val="none"/>
        </w:rPr>
        <w:t>H. Y. Chen</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“Application of deep learning algorithm to detect and visualize vertebral fractures on plain frontal radiographs,”</w:t>
      </w:r>
      <w:r w:rsidRPr="00080A7B">
        <w:rPr>
          <w:rFonts w:ascii="Minion Pro" w:hAnsi="Minion Pro"/>
          <w:i w:val="0"/>
          <w:iCs/>
          <w:noProof/>
          <w:color w:val="000000"/>
          <w:sz w:val="20"/>
          <w:szCs w:val="24"/>
          <w:u w:val="none"/>
        </w:rPr>
        <w:t>PLoS</w:t>
      </w:r>
      <w:r w:rsidRPr="00080A7B">
        <w:rPr>
          <w:rFonts w:ascii="Minion Pro" w:hAnsi="Minion Pro"/>
          <w:i w:val="0"/>
          <w:iCs/>
          <w:noProof/>
          <w:color w:val="000000"/>
          <w:sz w:val="20"/>
          <w:szCs w:val="24"/>
          <w:u w:val="none"/>
        </w:rPr>
        <w:lastRenderedPageBreak/>
        <w:t>One</w:t>
      </w:r>
      <w:r w:rsidRPr="00080A7B">
        <w:rPr>
          <w:rFonts w:ascii="Minion Pro" w:hAnsi="Minion Pro"/>
          <w:i w:val="0"/>
          <w:noProof/>
          <w:color w:val="000000"/>
          <w:sz w:val="20"/>
          <w:szCs w:val="24"/>
          <w:u w:val="none"/>
        </w:rPr>
        <w:t>, vol. 16, no. 1 January, pp. 1–10, 2021, doi: 10.1371/journal.pone.0245992.</w:t>
      </w:r>
    </w:p>
    <w:p w14:paraId="76B26664"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[14]</w:t>
      </w:r>
      <w:r w:rsidRPr="00080A7B">
        <w:rPr>
          <w:rFonts w:ascii="Minion Pro" w:hAnsi="Minion Pro"/>
          <w:i w:val="0"/>
          <w:noProof/>
          <w:color w:val="000000"/>
          <w:sz w:val="20"/>
          <w:szCs w:val="24"/>
          <w:u w:val="none"/>
        </w:rPr>
        <w:t>F. Rehman, S. I. Ali Shah, N. Riaz, and S. O. Gilani, “A Robust Scheme of Vertebrae Segmentation for Medical Diagnosis,”</w:t>
      </w:r>
      <w:r w:rsidRPr="00080A7B">
        <w:rPr>
          <w:rFonts w:ascii="Minion Pro" w:hAnsi="Minion Pro"/>
          <w:i w:val="0"/>
          <w:iCs/>
          <w:noProof/>
          <w:color w:val="000000"/>
          <w:sz w:val="20"/>
          <w:szCs w:val="24"/>
          <w:u w:val="none"/>
        </w:rPr>
        <w:t>IEEE Access</w:t>
      </w:r>
      <w:r w:rsidRPr="00080A7B">
        <w:rPr>
          <w:rFonts w:ascii="Minion Pro" w:hAnsi="Minion Pro"/>
          <w:i w:val="0"/>
          <w:noProof/>
          <w:color w:val="000000"/>
          <w:sz w:val="20"/>
          <w:szCs w:val="24"/>
          <w:u w:val="none"/>
        </w:rPr>
        <w:t>, vol. 7, pp. 120387–120398, 2019, doi: 10.1109/ACCESS.2019.2936492.</w:t>
      </w:r>
    </w:p>
    <w:p w14:paraId="350EFE3E"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[15]</w:t>
      </w:r>
      <w:r w:rsidRPr="00080A7B">
        <w:rPr>
          <w:rFonts w:ascii="Minion Pro" w:hAnsi="Minion Pro"/>
          <w:i w:val="0"/>
          <w:noProof/>
          <w:color w:val="000000"/>
          <w:sz w:val="20"/>
          <w:szCs w:val="24"/>
          <w:u w:val="none"/>
        </w:rPr>
        <w:t>A. Zakharov</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“Interpretable vertebral fracture quantification via anchor-free landmarks localization,”</w:t>
      </w:r>
      <w:r w:rsidRPr="00080A7B">
        <w:rPr>
          <w:rFonts w:ascii="Minion Pro" w:hAnsi="Minion Pro"/>
          <w:i w:val="0"/>
          <w:iCs/>
          <w:noProof/>
          <w:color w:val="000000"/>
          <w:sz w:val="20"/>
          <w:szCs w:val="24"/>
          <w:u w:val="none"/>
        </w:rPr>
        <w:t>Med. Image Anal.</w:t>
      </w:r>
      <w:r w:rsidRPr="00080A7B">
        <w:rPr>
          <w:rFonts w:ascii="Minion Pro" w:hAnsi="Minion Pro"/>
          <w:i w:val="0"/>
          <w:noProof/>
          <w:color w:val="000000"/>
          <w:sz w:val="20"/>
          <w:szCs w:val="24"/>
          <w:u w:val="none"/>
        </w:rPr>
        <w:t>, vol. 83, pp. 1–25, 2023, doi: 10.1016/j.media.2022.102646.</w:t>
      </w:r>
    </w:p>
    <w:p w14:paraId="1B3C6A5D"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[16]</w:t>
      </w:r>
      <w:r w:rsidRPr="00080A7B">
        <w:rPr>
          <w:rFonts w:ascii="Minion Pro" w:hAnsi="Minion Pro"/>
          <w:i w:val="0"/>
          <w:noProof/>
          <w:color w:val="000000"/>
          <w:sz w:val="20"/>
          <w:szCs w:val="24"/>
          <w:u w:val="none"/>
        </w:rPr>
        <w:t>X. Yi and X. Chen, “Gender-Difference Association Between Blood Pressure And Osteoporosis : Results From Henan Rural Cohort Study,” 2022.</w:t>
      </w:r>
    </w:p>
    <w:p w14:paraId="77C94374"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[17]</w:t>
      </w:r>
      <w:r w:rsidRPr="00080A7B">
        <w:rPr>
          <w:rFonts w:ascii="Minion Pro" w:hAnsi="Minion Pro"/>
          <w:i w:val="0"/>
          <w:noProof/>
          <w:color w:val="000000"/>
          <w:sz w:val="20"/>
          <w:szCs w:val="24"/>
          <w:u w:val="none"/>
        </w:rPr>
        <w:t>S. K. Kim, T. K. Yoo, E. Oh, and D. W. Kim, “Osteoporosis risk prediction using machine learning and conventional methods,”</w:t>
      </w:r>
      <w:r w:rsidRPr="00080A7B">
        <w:rPr>
          <w:rFonts w:ascii="Minion Pro" w:hAnsi="Minion Pro"/>
          <w:i w:val="0"/>
          <w:iCs/>
          <w:noProof/>
          <w:color w:val="000000"/>
          <w:sz w:val="20"/>
          <w:szCs w:val="24"/>
          <w:u w:val="none"/>
        </w:rPr>
        <w:t>Proc. Annu. Int. Conf. IEEE Eng. Med. Biol. Soc. EMBS</w:t>
      </w:r>
      <w:r w:rsidRPr="00080A7B">
        <w:rPr>
          <w:rFonts w:ascii="Minion Pro" w:hAnsi="Minion Pro"/>
          <w:i w:val="0"/>
          <w:noProof/>
          <w:color w:val="000000"/>
          <w:sz w:val="20"/>
          <w:szCs w:val="24"/>
          <w:u w:val="none"/>
        </w:rPr>
        <w:t>, pp. 188–191, 2013, doi: 10.1109/EMBC.2013.6609469.</w:t>
      </w:r>
    </w:p>
    <w:p w14:paraId="7F2DB8E4"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[18]</w:t>
      </w:r>
      <w:r w:rsidRPr="00080A7B">
        <w:rPr>
          <w:rFonts w:ascii="Minion Pro" w:hAnsi="Minion Pro"/>
          <w:i w:val="0"/>
          <w:noProof/>
          <w:color w:val="000000"/>
          <w:sz w:val="20"/>
          <w:szCs w:val="24"/>
          <w:u w:val="none"/>
        </w:rPr>
        <w:t>Y. Kwon</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“Osteoporosis Pre-Screening Using Ensemble Machine Learning in Postmenopausal Korean Women,”</w:t>
      </w:r>
      <w:r w:rsidRPr="00080A7B">
        <w:rPr>
          <w:rFonts w:ascii="Minion Pro" w:hAnsi="Minion Pro"/>
          <w:i w:val="0"/>
          <w:iCs/>
          <w:noProof/>
          <w:color w:val="000000"/>
          <w:sz w:val="20"/>
          <w:szCs w:val="24"/>
          <w:u w:val="none"/>
        </w:rPr>
        <w:t>Healthc.</w:t>
      </w:r>
      <w:r w:rsidRPr="00080A7B">
        <w:rPr>
          <w:rFonts w:ascii="Minion Pro" w:hAnsi="Minion Pro"/>
          <w:i w:val="0"/>
          <w:noProof/>
          <w:color w:val="000000"/>
          <w:sz w:val="20"/>
          <w:szCs w:val="24"/>
          <w:u w:val="none"/>
        </w:rPr>
        <w:t>, vol. 10, no. 6, 2022, doi: 10.3390/healthcare10061107.</w:t>
      </w:r>
    </w:p>
    <w:p w14:paraId="181AF77F"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[19]</w:t>
      </w:r>
      <w:r w:rsidRPr="00080A7B">
        <w:rPr>
          <w:rFonts w:ascii="Minion Pro" w:hAnsi="Minion Pro"/>
          <w:i w:val="0"/>
          <w:noProof/>
          <w:color w:val="000000"/>
          <w:sz w:val="20"/>
          <w:szCs w:val="24"/>
          <w:u w:val="none"/>
        </w:rPr>
        <w:t>K. H. Nam, I. Seo, D. H. Kim, J. Il Lee, B. K. Choi, and I. H. Han, “Machine learning model to predict osteoporotic spine with hounsfield units on lumbar computed tomography,”</w:t>
      </w:r>
      <w:r w:rsidRPr="00080A7B">
        <w:rPr>
          <w:rFonts w:ascii="Minion Pro" w:hAnsi="Minion Pro"/>
          <w:i w:val="0"/>
          <w:iCs/>
          <w:noProof/>
          <w:color w:val="000000"/>
          <w:sz w:val="20"/>
          <w:szCs w:val="24"/>
          <w:u w:val="none"/>
        </w:rPr>
        <w:t>J. Korean Neurosurg. Soc.</w:t>
      </w:r>
      <w:r w:rsidRPr="00080A7B">
        <w:rPr>
          <w:rFonts w:ascii="Minion Pro" w:hAnsi="Minion Pro"/>
          <w:i w:val="0"/>
          <w:noProof/>
          <w:color w:val="000000"/>
          <w:sz w:val="20"/>
          <w:szCs w:val="24"/>
          <w:u w:val="none"/>
        </w:rPr>
        <w:t>, vol. 62, no. 4, pp. 442–449, 2019, doi: 10.3340/jkns.2018.0178.</w:t>
      </w:r>
    </w:p>
    <w:p w14:paraId="5D956F91"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[20]</w:t>
      </w:r>
      <w:r w:rsidRPr="00080A7B">
        <w:rPr>
          <w:rFonts w:ascii="Minion Pro" w:hAnsi="Minion Pro"/>
          <w:i w:val="0"/>
          <w:noProof/>
          <w:color w:val="000000"/>
          <w:sz w:val="20"/>
          <w:szCs w:val="24"/>
          <w:u w:val="none"/>
        </w:rPr>
        <w:t>L. He</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“Radiomics Based on Lumbar Spine Magnetic Resonance Imaging to Detect Osteoporosis,”</w:t>
      </w:r>
      <w:r w:rsidRPr="00080A7B">
        <w:rPr>
          <w:rFonts w:ascii="Minion Pro" w:hAnsi="Minion Pro"/>
          <w:i w:val="0"/>
          <w:iCs/>
          <w:noProof/>
          <w:color w:val="000000"/>
          <w:sz w:val="20"/>
          <w:szCs w:val="24"/>
          <w:u w:val="none"/>
        </w:rPr>
        <w:t>Acad. Radiol.</w:t>
      </w:r>
      <w:r w:rsidRPr="00080A7B">
        <w:rPr>
          <w:rFonts w:ascii="Minion Pro" w:hAnsi="Minion Pro"/>
          <w:i w:val="0"/>
          <w:noProof/>
          <w:color w:val="000000"/>
          <w:sz w:val="20"/>
          <w:szCs w:val="24"/>
          <w:u w:val="none"/>
        </w:rPr>
        <w:t>, vol. 28,</w:t>
      </w:r>
      <w:r w:rsidRPr="00080A7B">
        <w:rPr>
          <w:rFonts w:ascii="Minion Pro" w:hAnsi="Minion Pro"/>
          <w:i w:val="0"/>
          <w:noProof/>
          <w:color w:val="000000"/>
          <w:sz w:val="20"/>
          <w:szCs w:val="24"/>
          <w:u w:val="none"/>
        </w:rPr>
        <w:t>no. 6, pp. e165–e171, 2021, doi: 10.1016/j.acra.2020.03.046.</w:t>
      </w:r>
    </w:p>
    <w:p w14:paraId="48E602DD"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[21]</w:t>
      </w:r>
      <w:r w:rsidRPr="00080A7B">
        <w:rPr>
          <w:rFonts w:ascii="Minion Pro" w:hAnsi="Minion Pro"/>
          <w:i w:val="0"/>
          <w:noProof/>
          <w:color w:val="000000"/>
          <w:sz w:val="20"/>
          <w:szCs w:val="24"/>
          <w:u w:val="none"/>
        </w:rPr>
        <w:t>S. Dadsetan</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“Machine Learning and Radiomics for Osteoporosis Risk Prediction Using X-ray Imaging,”</w:t>
      </w:r>
      <w:r w:rsidRPr="00080A7B">
        <w:rPr>
          <w:rFonts w:ascii="Minion Pro" w:hAnsi="Minion Pro"/>
          <w:i w:val="0"/>
          <w:iCs/>
          <w:noProof/>
          <w:color w:val="000000"/>
          <w:sz w:val="20"/>
          <w:szCs w:val="24"/>
          <w:u w:val="none"/>
        </w:rPr>
        <w:t>medRxiv</w:t>
      </w:r>
      <w:r w:rsidRPr="00080A7B">
        <w:rPr>
          <w:rFonts w:ascii="Minion Pro" w:hAnsi="Minion Pro"/>
          <w:i w:val="0"/>
          <w:noProof/>
          <w:color w:val="000000"/>
          <w:sz w:val="20"/>
          <w:szCs w:val="24"/>
          <w:u w:val="none"/>
        </w:rPr>
        <w:t>, pp. 0–7, 2022, [Online]. Available: https://www.medrxiv.org/ http://ovidsp.ovid.com/ovidweb.cgi?T=JS&amp;PAGE=reference&amp;D=empp&amp;NEWS=N&amp;AN=2017166253</w:t>
      </w:r>
    </w:p>
    <w:p w14:paraId="3B08B56C"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[22]</w:t>
      </w:r>
      <w:r w:rsidRPr="00080A7B">
        <w:rPr>
          <w:rFonts w:ascii="Minion Pro" w:hAnsi="Minion Pro"/>
          <w:i w:val="0"/>
          <w:noProof/>
          <w:color w:val="000000"/>
          <w:sz w:val="20"/>
          <w:szCs w:val="24"/>
          <w:u w:val="none"/>
        </w:rPr>
        <w:t>J. G. Shim</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“Application of machine learning approaches for osteoporosis risk prediction in postmenopausal women,”</w:t>
      </w:r>
      <w:r w:rsidRPr="00080A7B">
        <w:rPr>
          <w:rFonts w:ascii="Minion Pro" w:hAnsi="Minion Pro"/>
          <w:i w:val="0"/>
          <w:iCs/>
          <w:noProof/>
          <w:color w:val="000000"/>
          <w:sz w:val="20"/>
          <w:szCs w:val="24"/>
          <w:u w:val="none"/>
        </w:rPr>
        <w:t>Arch. Osteoporos.</w:t>
      </w:r>
      <w:r w:rsidRPr="00080A7B">
        <w:rPr>
          <w:rFonts w:ascii="Minion Pro" w:hAnsi="Minion Pro"/>
          <w:i w:val="0"/>
          <w:noProof/>
          <w:color w:val="000000"/>
          <w:sz w:val="20"/>
          <w:szCs w:val="24"/>
          <w:u w:val="none"/>
        </w:rPr>
        <w:t>, vol. 15, no. 1, 2020, doi: 10.1007/s11657-020-00802-8.</w:t>
      </w:r>
    </w:p>
    <w:p w14:paraId="5824C19B"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[23]</w:t>
      </w:r>
      <w:r w:rsidRPr="00080A7B">
        <w:rPr>
          <w:rFonts w:ascii="Minion Pro" w:hAnsi="Minion Pro"/>
          <w:i w:val="0"/>
          <w:noProof/>
          <w:color w:val="000000"/>
          <w:sz w:val="20"/>
          <w:szCs w:val="24"/>
          <w:u w:val="none"/>
        </w:rPr>
        <w:t>H. Jiang</w:t>
      </w:r>
      <w:r w:rsidRPr="00080A7B">
        <w:rPr>
          <w:rFonts w:ascii="Minion Pro" w:hAnsi="Minion Pro"/>
          <w:i w:val="0"/>
          <w:iCs/>
          <w:noProof/>
          <w:color w:val="000000"/>
          <w:sz w:val="20"/>
          <w:szCs w:val="24"/>
          <w:u w:val="none"/>
        </w:rPr>
        <w:t>et al.</w:t>
      </w:r>
      <w:r w:rsidRPr="00080A7B">
        <w:rPr>
          <w:rFonts w:ascii="Minion Pro" w:hAnsi="Minion Pro"/>
          <w:i w:val="0"/>
          <w:noProof/>
          <w:color w:val="000000"/>
          <w:sz w:val="20"/>
          <w:szCs w:val="24"/>
          <w:u w:val="none"/>
        </w:rPr>
        <w:t>, “Artificial Neural Network Modeling to Predict Neonatal Metabolic Bone Disease in the Prenatal and Postnatal Periods,”</w:t>
      </w:r>
      <w:r w:rsidRPr="00080A7B">
        <w:rPr>
          <w:rFonts w:ascii="Minion Pro" w:hAnsi="Minion Pro"/>
          <w:i w:val="0"/>
          <w:iCs/>
          <w:noProof/>
          <w:color w:val="000000"/>
          <w:sz w:val="20"/>
          <w:szCs w:val="24"/>
          <w:u w:val="none"/>
        </w:rPr>
        <w:t>JAMA Netw. open</w:t>
      </w:r>
      <w:r w:rsidRPr="00080A7B">
        <w:rPr>
          <w:rFonts w:ascii="Minion Pro" w:hAnsi="Minion Pro"/>
          <w:i w:val="0"/>
          <w:noProof/>
          <w:color w:val="000000"/>
          <w:sz w:val="20"/>
          <w:szCs w:val="24"/>
          <w:u w:val="none"/>
        </w:rPr>
        <w:t>, vol. 6, no. 1, p. e2251849, 2023, doi: 10.1001/jamanetworkopen.2022.51849.</w:t>
      </w:r>
    </w:p>
    <w:p w14:paraId="15243B31"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[24]</w:t>
      </w:r>
      <w:r w:rsidRPr="00080A7B">
        <w:rPr>
          <w:rFonts w:ascii="Minion Pro" w:hAnsi="Minion Pro"/>
          <w:i w:val="0"/>
          <w:noProof/>
          <w:color w:val="000000"/>
          <w:sz w:val="20"/>
          <w:szCs w:val="24"/>
          <w:u w:val="none"/>
        </w:rPr>
        <w:t>S. Bang, P. Xie, H. Lee, W. Wu, and E. Xing, “Explaining A Black-box By Using A Deep Variational Information Bottleneck Approach,”</w:t>
      </w:r>
      <w:r w:rsidRPr="00080A7B">
        <w:rPr>
          <w:rFonts w:ascii="Minion Pro" w:hAnsi="Minion Pro"/>
          <w:i w:val="0"/>
          <w:iCs/>
          <w:noProof/>
          <w:color w:val="000000"/>
          <w:sz w:val="20"/>
          <w:szCs w:val="24"/>
          <w:u w:val="none"/>
        </w:rPr>
        <w:t>35th AAAI Conf. Artif. Intell. AAAI 2021</w:t>
      </w:r>
      <w:r w:rsidRPr="00080A7B">
        <w:rPr>
          <w:rFonts w:ascii="Minion Pro" w:hAnsi="Minion Pro"/>
          <w:i w:val="0"/>
          <w:noProof/>
          <w:color w:val="000000"/>
          <w:sz w:val="20"/>
          <w:szCs w:val="24"/>
          <w:u w:val="none"/>
        </w:rPr>
        <w:t>, vol. 13A, pp. 11396–11404, 2021, doi: 10.1609/aaai.v35i13.17358.</w:t>
      </w:r>
    </w:p>
    <w:p w14:paraId="29FF7F26"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rsidRPr="00080A7B">
        <w:rPr>
          <w:rFonts w:ascii="Minion Pro" w:hAnsi="Minion Pro"/>
          <w:i w:val="0"/>
          <w:noProof/>
          <w:color w:val="000000"/>
          <w:sz w:val="20"/>
          <w:szCs w:val="24"/>
          <w:u w:val="none"/>
        </w:rPr>
        <w:t>[25]</w:t>
      </w:r>
      <w:r w:rsidRPr="00080A7B">
        <w:rPr>
          <w:rFonts w:ascii="Minion Pro" w:hAnsi="Minion Pro"/>
          <w:i w:val="0"/>
          <w:noProof/>
          <w:color w:val="000000"/>
          <w:sz w:val="20"/>
          <w:szCs w:val="24"/>
          <w:u w:val="none"/>
        </w:rPr>
        <w:t>E. Motte-Signoret, M. Jlassi, L. Lecoq, P. Y. Wachter, A. Durandy, and P. Boileau, “Early elevated alkaline phosphatase as a surrogate biomarker of ongoing metabolic bone disease of prematurity,”</w:t>
      </w:r>
      <w:r w:rsidRPr="00080A7B">
        <w:rPr>
          <w:rFonts w:ascii="Minion Pro" w:hAnsi="Minion Pro"/>
          <w:i w:val="0"/>
          <w:iCs/>
          <w:noProof/>
          <w:color w:val="000000"/>
          <w:sz w:val="20"/>
          <w:szCs w:val="24"/>
          <w:u w:val="none"/>
        </w:rPr>
        <w:t>Eur. J. Pediatr.</w:t>
      </w:r>
      <w:r w:rsidRPr="00080A7B">
        <w:rPr>
          <w:rFonts w:ascii="Minion Pro" w:hAnsi="Minion Pro"/>
          <w:i w:val="0"/>
          <w:noProof/>
          <w:color w:val="000000"/>
          <w:sz w:val="20"/>
          <w:szCs w:val="24"/>
          <w:u w:val="none"/>
        </w:rPr>
        <w:t>, vol. 90, no. March, p. 94276, 2023, doi: 10.1007/s00431-023-04839-y.</w:t>
      </w:r>
    </w:p>
    <w:p w14:paraId="49BD9F0F"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rPr>
      </w:pPr>
      <w:r w:rsidRPr="00080A7B">
        <w:rPr>
          <w:rFonts w:ascii="Minion Pro" w:hAnsi="Minion Pro"/>
          <w:i w:val="0"/>
          <w:noProof/>
          <w:color w:val="000000"/>
          <w:sz w:val="20"/>
          <w:szCs w:val="24"/>
          <w:u w:val="none"/>
        </w:rPr>
        <w:t>[26]</w:t>
      </w:r>
      <w:r w:rsidRPr="00080A7B">
        <w:rPr>
          <w:rFonts w:ascii="Minion Pro" w:hAnsi="Minion Pro"/>
          <w:i w:val="0"/>
          <w:noProof/>
          <w:color w:val="000000"/>
          <w:sz w:val="20"/>
          <w:szCs w:val="24"/>
          <w:u w:val="none"/>
        </w:rPr>
        <w:t>I. H. Sarker, “Machine Learning: Algorithms, Real-World Applications and Research Directions,”</w:t>
      </w:r>
      <w:r w:rsidRPr="00080A7B">
        <w:rPr>
          <w:rFonts w:ascii="Minion Pro" w:hAnsi="Minion Pro"/>
          <w:i w:val="0"/>
          <w:iCs/>
          <w:noProof/>
          <w:color w:val="000000"/>
          <w:sz w:val="20"/>
          <w:szCs w:val="24"/>
          <w:u w:val="none"/>
        </w:rPr>
        <w:t>SN Comput. Sci.</w:t>
      </w:r>
      <w:r w:rsidRPr="00080A7B">
        <w:rPr>
          <w:rFonts w:ascii="Minion Pro" w:hAnsi="Minion Pro"/>
          <w:i w:val="0"/>
          <w:noProof/>
          <w:color w:val="000000"/>
          <w:sz w:val="20"/>
          <w:szCs w:val="24"/>
          <w:u w:val="none"/>
        </w:rPr>
        <w:t>, vol. 2, no. 3, 2021, doi: 10.1007/s42979-021-00592-x.</w:t>
      </w:r>
    </w:p>
    <w:p w14:paraId="0A8BDC84" w14:textId="77777777" w:rsidR="00516F03" w:rsidRDefault="00F71DDC" w:rsidP="00080A7B">
      <w:pPr>
        <w:keepNext w:val="0"/>
        <w:keepLines w:val="0"/>
        <w:widowControl w:val="0"/>
        <w:autoSpaceDE w:val="0"/>
        <w:autoSpaceDN w:val="0"/>
        <w:adjustRightInd w:val="0"/>
        <w:spacing w:after="0" w:before="0"/>
        <w:ind w:left="0" w:right="0" w:firstLine="0"/>
        <w:jc w:val="both"/>
        <w:sectPr w:rsidR="00516F03" w:rsidSect="00516F03">
          <w:headerReference w:type="default" r:id="rId45"/>
          <w:headerReference w:type="first" r:id="rId46"/>
          <w:headerReference w:type="even" r:id="rId47"/>
          <w:type w:val="continuous"/>
          <w:pgSz w:w="12240" w:h="15846" w:code="1"/>
          <w:pgMar w:top="1440" w:right="1440" w:bottom="1440" w:left="1440" w:header="432" w:footer="432" w:gutter="0"/>
          <w:cols w:num="1" w:space="288"/>
          <w:lnNumType w:countBy="1" w:distance="360" w:restart="continuous" w:numStart="1"/>
          <w:pgNumType/>
        </w:sectPr>
      </w:pPr>
      <w:r w:rsidRPr="00105B89">
        <w:rPr>
          <w:rFonts w:ascii="Minion Pro" w:hAnsi="Minion Pro"/>
          <w:i w:val="0"/>
          <w:color w:val="000000"/>
          <w:sz w:val="20"/>
          <w:szCs w:val="16"/>
          <w:u w:val="none"/>
        </w:rPr>
        <w:fldChar w:fldCharType="end"/>
      </w:r>
    </w:p>
    <w:p w14:paraId="3297742B" w14:textId="77777777" w:rsidR="00044910" w:rsidRDefault="00044910" w:rsidP="002532D8">
      <w:pPr>
        <w:pStyle w:val="Heading1"/>
        <w:keepNext w:val="0"/>
        <w:keepLines w:val="0"/>
        <w:widowControl w:val="0"/>
        <w:numPr>
          <w:ilvl w:val="0"/>
          <w:numId w:val="0"/>
        </w:numPr>
        <w:spacing w:before="0" w:after="0"/>
        <w:ind w:left="0" w:right="0" w:firstLine="0"/>
        <w:jc w:val="left"/>
        <w:rPr>
          <w:b/>
          <w:bCs/>
          <w:sz w:val="18"/>
          <w:szCs w:val="18"/>
        </w:rPr>
      </w:pPr>
    </w:p>
    <w:sectPr w:rsidR="00044910" w:rsidSect="004B2C37">
      <w:headerReference w:type="default" r:id="rId48"/>
      <w:headerReference w:type="first" r:id="rId49"/>
      <w:headerReference w:type="even" r:id="rId50"/>
      <w:type w:val="continuous"/>
      <w:pgSz w:w="12240" w:h="15846" w:code="1"/>
      <w:pgMar w:top="1440" w:right="1440" w:bottom="1440" w:left="1440" w:header="432" w:footer="432" w:gutter="0"/>
      <w:cols w:space="288" w:num="1"/>
      <w:lnNumType w:countBy="1" w:distance="360" w:restart="continuous" w:numStart="1"/>
      <w:pgNumTyp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44104" w14:textId="77777777" w:rsidR="00F608F7" w:rsidRDefault="00F608F7" w:rsidP="00AD38A4">
      <w:r>
        <w:separator/>
      </w:r>
    </w:p>
  </w:endnote>
  <w:endnote w:type="continuationSeparator" w:id="0">
    <w:p w14:paraId="6C089A93" w14:textId="77777777" w:rsidR="00F608F7" w:rsidRDefault="00F60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iriam">
    <w:altName w:val="Malgun Gothic Semilight"/>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9060000" w:usb2="00000010"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0A96" w14:textId="77777777" w:rsidR="008C1DD6" w:rsidRDefault="008C1DD6" w:rsidP="00B871D7">
    <w:pPr>
      <w:pStyle w:val="Footer"/>
      <w:pBdr>
        <w:top w:val="single" w:sz="4" w:space="1" w:color="auto"/>
      </w:pBdr>
      <w:jc w:val="right"/>
      <w:rPr>
        <w:rFonts w:ascii="Arial" w:hAnsi="Arial" w:cs="Arial"/>
        <w:i/>
        <w:iCs/>
        <w:color w:val="A6A6A6"/>
      </w:rPr>
    </w:pPr>
  </w:p>
  <w:p w14:paraId="12A4D837" w14:textId="77777777" w:rsidR="008C1DD6" w:rsidRDefault="008C1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6E92" w14:textId="77777777" w:rsidR="008C1DD6" w:rsidRDefault="008C1DD6" w:rsidP="00B871D7">
    <w:pPr>
      <w:pStyle w:val="Footer"/>
      <w:pBdr>
        <w:top w:val="single" w:sz="4" w:space="1" w:color="auto"/>
      </w:pBdr>
      <w:jc w:val="right"/>
      <w:rPr>
        <w:rFonts w:ascii="Arial" w:hAnsi="Arial" w:cs="Arial"/>
        <w:i/>
        <w:iCs/>
        <w:color w:val="A6A6A6"/>
      </w:rPr>
    </w:pPr>
  </w:p>
  <w:p w14:paraId="6A1181BF" w14:textId="77777777" w:rsidR="008C1DD6" w:rsidRDefault="008C1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F124B" w14:textId="77777777" w:rsidR="008C1DD6" w:rsidRPr="00D80C42" w:rsidRDefault="008C1DD6" w:rsidP="00B871D7">
    <w:pPr>
      <w:pStyle w:val="Footer"/>
      <w:tabs>
        <w:tab w:val="clear" w:pos="9360"/>
        <w:tab w:val="left" w:pos="5040"/>
        <w:tab w:val="left" w:pos="5760"/>
      </w:tabs>
      <w:jc w:val="left"/>
      <w:rPr>
        <w:szCs w:val="18"/>
      </w:rPr>
    </w:pPr>
  </w:p>
  <w:tbl>
    <w:tblPr>
      <w:tblW w:type="auto" w:w="0"/>
      <w:tblLayout w:type="fixed"/>
      <w:tblLook w:firstColumn="1" w:firstRow="1" w:lastColumn="0" w:lastRow="0" w:noHBand="0" w:noVBand="1" w:val="04A0"/>
    </w:tblPr>
    <w:tblGrid>
      <w:gridCol w:w="2835"/>
      <w:gridCol w:w="8220"/>
    </w:tblGrid>
    <w:tr>
      <w:tc>
        <w:tcPr>
          <w:tcW w:type="dxa" w:w="4677"/>
        </w:tcPr>
        <w:p>
          <w:pPr>
            <w:jc w:val="left"/>
          </w:pPr>
          <w:r>
            <w:drawing>
              <wp:inline xmlns:a="http://schemas.openxmlformats.org/drawingml/2006/main" xmlns:pic="http://schemas.openxmlformats.org/drawingml/2006/picture">
                <wp:extent cx="1080000" cy="390857"/>
                <wp:docPr id="1" name="Picture 1"/>
                <wp:cNvGraphicFramePr>
                  <a:graphicFrameLocks noChangeAspect="1"/>
                </wp:cNvGraphicFramePr>
                <a:graphic>
                  <a:graphicData uri="http://schemas.openxmlformats.org/drawingml/2006/picture">
                    <pic:pic>
                      <pic:nvPicPr>
                        <pic:cNvPr id="0" name="footer_image.jpg"/>
                        <pic:cNvPicPr/>
                      </pic:nvPicPr>
                      <pic:blipFill>
                        <a:blip r:embed="rId1"/>
                        <a:stretch>
                          <a:fillRect/>
                        </a:stretch>
                      </pic:blipFill>
                      <pic:spPr>
                        <a:xfrm>
                          <a:off x="0" y="0"/>
                          <a:ext cx="1080000" cy="390857"/>
                        </a:xfrm>
                        <a:prstGeom prst="rect"/>
                      </pic:spPr>
                    </pic:pic>
                  </a:graphicData>
                </a:graphic>
              </wp:inline>
            </w:drawing>
          </w:r>
        </w:p>
      </w:tc>
      <w:tc>
        <w:tcPr>
          <w:tcW w:type="dxa" w:w="4677"/>
        </w:tcPr>
        <w:p>
          <w:pPr>
            <w:jc w:val="left"/>
          </w:pPr>
          <w:r>
            <w:t>Copyright © 2025 The Author(s). Published by Tech Science Press. This work is licensed under a Creative Commons Attribution 4.0 International License.</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0767" w14:textId="77777777" w:rsidR="00F608F7" w:rsidRDefault="00F608F7" w:rsidP="00AD38A4">
      <w:r>
        <w:separator/>
      </w:r>
    </w:p>
  </w:footnote>
  <w:footnote w:type="continuationSeparator" w:id="0">
    <w:p w14:paraId="68524262" w14:textId="77777777" w:rsidR="00F608F7" w:rsidRDefault="00F608F7" w:rsidP="00AD3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type="auto" w:w="0"/>
      <w:tblLayout w:type="fixed"/>
      <w:tblLook w:firstColumn="1" w:firstRow="1" w:lastColumn="0" w:lastRow="0" w:noHBand="0" w:noVBand="1" w:val="04A0"/>
    </w:tblPr>
    <w:tblGrid>
      <w:gridCol w:w="6120"/>
      <w:gridCol w:w="6120"/>
    </w:tblGrid>
    <w:tr>
      <w:tc>
        <w:tcPr>
          <w:tcW w:type="dxa" w:w="4677"/>
        </w:tcPr>
        <w:p>
          <w:pPr>
            <w:jc w:val="left"/>
          </w:pPr>
          <w:r>
            <w:drawing>
              <wp:inline xmlns:a="http://schemas.openxmlformats.org/drawingml/2006/main" xmlns:pic="http://schemas.openxmlformats.org/drawingml/2006/picture">
                <wp:extent cx="1080000" cy="258000"/>
                <wp:docPr id="1" name="Picture 1"/>
                <wp:cNvGraphicFramePr>
                  <a:graphicFrameLocks noChangeAspect="1"/>
                </wp:cNvGraphicFramePr>
                <a:graphic>
                  <a:graphicData uri="http://schemas.openxmlformats.org/drawingml/2006/picture">
                    <pic:pic>
                      <pic:nvPicPr>
                        <pic:cNvPr id="0" name="left_image.jpg"/>
                        <pic:cNvPicPr/>
                      </pic:nvPicPr>
                      <pic:blipFill>
                        <a:blip r:embed="rId1"/>
                        <a:stretch>
                          <a:fillRect/>
                        </a:stretch>
                      </pic:blipFill>
                      <pic:spPr>
                        <a:xfrm>
                          <a:off x="0" y="0"/>
                          <a:ext cx="1080000" cy="258000"/>
                        </a:xfrm>
                        <a:prstGeom prst="rect"/>
                      </pic:spPr>
                    </pic:pic>
                  </a:graphicData>
                </a:graphic>
              </wp:inline>
            </w:drawing>
          </w:r>
        </w:p>
      </w:tc>
      <w:tc>
        <w:tcPr>
          <w:tcW w:type="dxa" w:w="4677"/>
        </w:tcPr>
        <w:p>
          <w:pPr>
            <w:jc w:val="right"/>
          </w:pPr>
          <w:r>
            <w:drawing>
              <wp:inline xmlns:a="http://schemas.openxmlformats.org/drawingml/2006/main" xmlns:pic="http://schemas.openxmlformats.org/drawingml/2006/picture">
                <wp:extent cx="1080000" cy="160000"/>
                <wp:docPr id="2" name="Picture 2"/>
                <wp:cNvGraphicFramePr>
                  <a:graphicFrameLocks noChangeAspect="1"/>
                </wp:cNvGraphicFramePr>
                <a:graphic>
                  <a:graphicData uri="http://schemas.openxmlformats.org/drawingml/2006/picture">
                    <pic:pic>
                      <pic:nvPicPr>
                        <pic:cNvPr id="0" name="right_image.jpg"/>
                        <pic:cNvPicPr/>
                      </pic:nvPicPr>
                      <pic:blipFill>
                        <a:blip r:embed="rId2"/>
                        <a:stretch>
                          <a:fillRect/>
                        </a:stretch>
                      </pic:blipFill>
                      <pic:spPr>
                        <a:xfrm>
                          <a:off x="0" y="0"/>
                          <a:ext cx="1080000" cy="160000"/>
                        </a:xfrm>
                        <a:prstGeom prst="rect"/>
                      </pic:spPr>
                    </pic:pic>
                  </a:graphicData>
                </a:graphic>
              </wp:inline>
            </w:drawing>
          </w:r>
        </w:p>
      </w:tc>
    </w:tr>
  </w:tbl>
</w:hdr>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3488"/>
        </w:tabs>
        <w:ind w:left="3549"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68842C1"/>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CF63DC6">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5794076"/>
    <w:multiLevelType w:val="hybridMultilevel"/>
    <w:tmpl w:val="39D64D00"/>
    <w:lvl w:ilvl="0" w:tplc="ECF63D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ECF63DC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B3C6AC8"/>
    <w:multiLevelType w:val="multilevel"/>
    <w:tmpl w:val="AC9EB23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D3339F1"/>
    <w:multiLevelType w:val="hybridMultilevel"/>
    <w:tmpl w:val="3A10D4A6"/>
    <w:lvl w:ilvl="0" w:tplc="ECF63DC6">
      <w:start w:val="1"/>
      <w:numFmt w:val="decimal"/>
      <w:lvlText w:val="[%1]."/>
      <w:lvlJc w:val="left"/>
      <w:pPr>
        <w:ind w:left="450" w:hanging="360"/>
      </w:pPr>
      <w:rPr>
        <w:rFonts w:ascii="Times New Roman" w:hAnsi="Times New Roman" w:hint="default"/>
        <w:b w:val="0"/>
        <w:i w:val="0"/>
        <w:sz w:val="18"/>
        <w:szCs w:val="24"/>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3E47B0A"/>
    <w:multiLevelType w:val="hybridMultilevel"/>
    <w:tmpl w:val="6CB6083A"/>
    <w:lvl w:ilvl="0" w:tplc="ECF63DC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35B40221"/>
    <w:multiLevelType w:val="hybridMultilevel"/>
    <w:tmpl w:val="98766922"/>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EA402BE8"/>
    <w:lvl w:ilvl="0" w:tplc="ECF63DC6">
      <w:start w:val="1"/>
      <w:numFmt w:val="bullet"/>
      <w:pStyle w:val="bulletlis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F2A679F8"/>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0121F3"/>
    <w:multiLevelType w:val="hybridMultilevel"/>
    <w:tmpl w:val="3CB68752"/>
    <w:lvl w:ilvl="0" w:tplc="ECF63D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31A3F"/>
    <w:multiLevelType w:val="hybridMultilevel"/>
    <w:tmpl w:val="D9C04E8C"/>
    <w:lvl w:ilvl="0" w:tplc="CCEE655E">
      <w:start w:val="1"/>
      <w:numFmt w:val="decimal"/>
      <w:lvlText w:val="[%1]"/>
      <w:lvlJc w:val="left"/>
      <w:pPr>
        <w:ind w:left="576" w:hanging="360"/>
      </w:pPr>
      <w:rPr>
        <w:rFonts w:hint="default"/>
      </w:rPr>
    </w:lvl>
    <w:lvl w:ilvl="1" w:tplc="4EC40C0E" w:tentative="1">
      <w:start w:val="1"/>
      <w:numFmt w:val="lowerLetter"/>
      <w:lvlText w:val="%2."/>
      <w:lvlJc w:val="left"/>
      <w:pPr>
        <w:ind w:left="1440" w:hanging="360"/>
      </w:pPr>
    </w:lvl>
    <w:lvl w:ilvl="2" w:tplc="EBB2AE42" w:tentative="1">
      <w:start w:val="1"/>
      <w:numFmt w:val="lowerRoman"/>
      <w:lvlText w:val="%3."/>
      <w:lvlJc w:val="right"/>
      <w:pPr>
        <w:ind w:left="2160" w:hanging="180"/>
      </w:pPr>
    </w:lvl>
    <w:lvl w:ilvl="3" w:tplc="B9DA9996" w:tentative="1">
      <w:start w:val="1"/>
      <w:numFmt w:val="decimal"/>
      <w:lvlText w:val="%4."/>
      <w:lvlJc w:val="left"/>
      <w:pPr>
        <w:ind w:left="2880" w:hanging="360"/>
      </w:pPr>
    </w:lvl>
    <w:lvl w:ilvl="4" w:tplc="8B50F0EC" w:tentative="1">
      <w:start w:val="1"/>
      <w:numFmt w:val="lowerLetter"/>
      <w:lvlText w:val="%5."/>
      <w:lvlJc w:val="left"/>
      <w:pPr>
        <w:ind w:left="3600" w:hanging="360"/>
      </w:pPr>
    </w:lvl>
    <w:lvl w:ilvl="5" w:tplc="43DCB9C2" w:tentative="1">
      <w:start w:val="1"/>
      <w:numFmt w:val="lowerRoman"/>
      <w:lvlText w:val="%6."/>
      <w:lvlJc w:val="right"/>
      <w:pPr>
        <w:ind w:left="4320" w:hanging="180"/>
      </w:pPr>
    </w:lvl>
    <w:lvl w:ilvl="6" w:tplc="F3D6DA56" w:tentative="1">
      <w:start w:val="1"/>
      <w:numFmt w:val="decimal"/>
      <w:lvlText w:val="%7."/>
      <w:lvlJc w:val="left"/>
      <w:pPr>
        <w:ind w:left="5040" w:hanging="360"/>
      </w:pPr>
    </w:lvl>
    <w:lvl w:ilvl="7" w:tplc="C9CC519A" w:tentative="1">
      <w:start w:val="1"/>
      <w:numFmt w:val="lowerLetter"/>
      <w:lvlText w:val="%8."/>
      <w:lvlJc w:val="left"/>
      <w:pPr>
        <w:ind w:left="5760" w:hanging="360"/>
      </w:pPr>
    </w:lvl>
    <w:lvl w:ilvl="8" w:tplc="D7A0B7A4" w:tentative="1">
      <w:start w:val="1"/>
      <w:numFmt w:val="lowerRoman"/>
      <w:lvlText w:val="%9."/>
      <w:lvlJc w:val="right"/>
      <w:pPr>
        <w:ind w:left="6480" w:hanging="180"/>
      </w:pPr>
    </w:lvl>
  </w:abstractNum>
  <w:abstractNum w:abstractNumId="14" w15:restartNumberingAfterBreak="0">
    <w:nsid w:val="4C034BCD"/>
    <w:multiLevelType w:val="hybridMultilevel"/>
    <w:tmpl w:val="C2DC2966"/>
    <w:lvl w:ilvl="0" w:tplc="ECF63D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21BA7"/>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A3A38D3"/>
    <w:multiLevelType w:val="hybridMultilevel"/>
    <w:tmpl w:val="9A2642CA"/>
    <w:lvl w:ilvl="0" w:tplc="A2947960">
      <w:start w:val="6"/>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15:restartNumberingAfterBreak="0">
    <w:nsid w:val="5BD96B27"/>
    <w:multiLevelType w:val="hybridMultilevel"/>
    <w:tmpl w:val="F5F2D30A"/>
    <w:lvl w:ilvl="0" w:tplc="D1482C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309F2"/>
    <w:multiLevelType w:val="hybridMultilevel"/>
    <w:tmpl w:val="9720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1F87D58"/>
    <w:lvl w:ilvl="0" w:tplc="9B3608EA">
      <w:start w:val="1"/>
      <w:numFmt w:val="decimal"/>
      <w:pStyle w:val="figurecaption"/>
      <w:lvlText w:val="Figure %1. "/>
      <w:lvlJc w:val="left"/>
      <w:pPr>
        <w:tabs>
          <w:tab w:val="num" w:pos="900"/>
        </w:tabs>
      </w:pPr>
      <w:rPr>
        <w:rFonts w:ascii="Times New Roman" w:hAnsi="Times New Roman" w:cs="Times New Roman" w:hint="default"/>
        <w:b w:val="0"/>
        <w:bCs w:val="0"/>
        <w:i w:val="0"/>
        <w:iCs w:val="0"/>
        <w:color w:val="auto"/>
        <w:sz w:val="16"/>
        <w:szCs w:val="16"/>
      </w:rPr>
    </w:lvl>
    <w:lvl w:ilvl="1" w:tplc="08090003">
      <w:start w:val="1"/>
      <w:numFmt w:val="lowerLetter"/>
      <w:lvlText w:val="%2."/>
      <w:lvlJc w:val="left"/>
      <w:pPr>
        <w:tabs>
          <w:tab w:val="num" w:pos="1440"/>
        </w:tabs>
        <w:ind w:left="1440" w:hanging="360"/>
      </w:pPr>
      <w:rPr>
        <w:rFonts w:cs="Times New Roman"/>
      </w:rPr>
    </w:lvl>
    <w:lvl w:ilvl="2" w:tplc="08090005">
      <w:start w:val="1"/>
      <w:numFmt w:val="lowerRoman"/>
      <w:lvlText w:val="%3."/>
      <w:lvlJc w:val="right"/>
      <w:pPr>
        <w:tabs>
          <w:tab w:val="num" w:pos="2160"/>
        </w:tabs>
        <w:ind w:left="2160" w:hanging="18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lowerLetter"/>
      <w:lvlText w:val="%5."/>
      <w:lvlJc w:val="left"/>
      <w:pPr>
        <w:tabs>
          <w:tab w:val="num" w:pos="3600"/>
        </w:tabs>
        <w:ind w:left="3600" w:hanging="360"/>
      </w:pPr>
      <w:rPr>
        <w:rFonts w:cs="Times New Roman"/>
      </w:rPr>
    </w:lvl>
    <w:lvl w:ilvl="5" w:tplc="08090005">
      <w:start w:val="1"/>
      <w:numFmt w:val="lowerRoman"/>
      <w:lvlText w:val="%6."/>
      <w:lvlJc w:val="right"/>
      <w:pPr>
        <w:tabs>
          <w:tab w:val="num" w:pos="4320"/>
        </w:tabs>
        <w:ind w:left="4320" w:hanging="18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lowerLetter"/>
      <w:lvlText w:val="%8."/>
      <w:lvlJc w:val="left"/>
      <w:pPr>
        <w:tabs>
          <w:tab w:val="num" w:pos="5760"/>
        </w:tabs>
        <w:ind w:left="5760" w:hanging="360"/>
      </w:pPr>
      <w:rPr>
        <w:rFonts w:cs="Times New Roman"/>
      </w:rPr>
    </w:lvl>
    <w:lvl w:ilvl="8" w:tplc="08090005">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260"/>
        </w:tabs>
      </w:pPr>
      <w:rPr>
        <w:rFonts w:ascii="Times New Roman" w:hAnsi="Times New Roman" w:cs="Times New Roman" w:hint="default"/>
        <w:b w:val="0"/>
        <w:bCs w:val="0"/>
        <w:i w:val="0"/>
        <w:iCs w:val="0"/>
        <w:sz w:val="16"/>
        <w:szCs w:val="16"/>
      </w:rPr>
    </w:lvl>
  </w:abstractNum>
  <w:abstractNum w:abstractNumId="22" w15:restartNumberingAfterBreak="0">
    <w:nsid w:val="73C476A7"/>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430EF"/>
    <w:multiLevelType w:val="hybridMultilevel"/>
    <w:tmpl w:val="EBE07EB4"/>
    <w:lvl w:ilvl="0" w:tplc="D1FC46B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425729988">
    <w:abstractNumId w:val="9"/>
  </w:num>
  <w:num w:numId="2" w16cid:durableId="1254507999">
    <w:abstractNumId w:val="20"/>
  </w:num>
  <w:num w:numId="3" w16cid:durableId="574826872">
    <w:abstractNumId w:val="4"/>
  </w:num>
  <w:num w:numId="4" w16cid:durableId="678122218">
    <w:abstractNumId w:val="11"/>
  </w:num>
  <w:num w:numId="5" w16cid:durableId="117919624">
    <w:abstractNumId w:val="11"/>
  </w:num>
  <w:num w:numId="6" w16cid:durableId="1487041887">
    <w:abstractNumId w:val="11"/>
  </w:num>
  <w:num w:numId="7" w16cid:durableId="1762295692">
    <w:abstractNumId w:val="11"/>
  </w:num>
  <w:num w:numId="8" w16cid:durableId="545918052">
    <w:abstractNumId w:val="16"/>
  </w:num>
  <w:num w:numId="9" w16cid:durableId="96949865">
    <w:abstractNumId w:val="21"/>
  </w:num>
  <w:num w:numId="10" w16cid:durableId="347219263">
    <w:abstractNumId w:val="10"/>
  </w:num>
  <w:num w:numId="11" w16cid:durableId="1811628329">
    <w:abstractNumId w:val="2"/>
  </w:num>
  <w:num w:numId="12" w16cid:durableId="1919778549">
    <w:abstractNumId w:val="14"/>
  </w:num>
  <w:num w:numId="13" w16cid:durableId="2136826078">
    <w:abstractNumId w:val="6"/>
  </w:num>
  <w:num w:numId="14" w16cid:durableId="518087975">
    <w:abstractNumId w:val="0"/>
  </w:num>
  <w:num w:numId="15" w16cid:durableId="1201359988">
    <w:abstractNumId w:val="7"/>
  </w:num>
  <w:num w:numId="16" w16cid:durableId="920531206">
    <w:abstractNumId w:val="11"/>
  </w:num>
  <w:num w:numId="17" w16cid:durableId="1115364713">
    <w:abstractNumId w:val="11"/>
  </w:num>
  <w:num w:numId="18" w16cid:durableId="760685485">
    <w:abstractNumId w:val="11"/>
  </w:num>
  <w:num w:numId="19" w16cid:durableId="866483363">
    <w:abstractNumId w:val="17"/>
  </w:num>
  <w:num w:numId="20" w16cid:durableId="1599630562">
    <w:abstractNumId w:val="11"/>
  </w:num>
  <w:num w:numId="21" w16cid:durableId="733044563">
    <w:abstractNumId w:val="13"/>
  </w:num>
  <w:num w:numId="22" w16cid:durableId="422844183">
    <w:abstractNumId w:val="8"/>
  </w:num>
  <w:num w:numId="23" w16cid:durableId="1678657217">
    <w:abstractNumId w:val="23"/>
  </w:num>
  <w:num w:numId="24" w16cid:durableId="653997399">
    <w:abstractNumId w:val="18"/>
  </w:num>
  <w:num w:numId="25" w16cid:durableId="208498940">
    <w:abstractNumId w:val="19"/>
  </w:num>
  <w:num w:numId="26" w16cid:durableId="1791128764">
    <w:abstractNumId w:val="12"/>
  </w:num>
  <w:num w:numId="27" w16cid:durableId="449134177">
    <w:abstractNumId w:val="5"/>
  </w:num>
  <w:num w:numId="28" w16cid:durableId="238445470">
    <w:abstractNumId w:val="15"/>
  </w:num>
  <w:num w:numId="29" w16cid:durableId="1197474876">
    <w:abstractNumId w:val="3"/>
  </w:num>
  <w:num w:numId="30" w16cid:durableId="360862494">
    <w:abstractNumId w:val="22"/>
  </w:num>
  <w:num w:numId="31" w16cid:durableId="123026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34"/>
  <w:drawingGridVerticalSpacing w:val="17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ir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xaazx5t5e9efepaa2v5pxs0zpa0se55r9r&quot;&gt;marwan Copy&lt;record-ids&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ED13D6"/>
    <w:rsid w:val="00001C2D"/>
    <w:rsid w:val="00011227"/>
    <w:rsid w:val="000140F0"/>
    <w:rsid w:val="000177AF"/>
    <w:rsid w:val="00021A43"/>
    <w:rsid w:val="00022B81"/>
    <w:rsid w:val="000274B6"/>
    <w:rsid w:val="00030D5F"/>
    <w:rsid w:val="0003406B"/>
    <w:rsid w:val="0003409B"/>
    <w:rsid w:val="000345AC"/>
    <w:rsid w:val="00034988"/>
    <w:rsid w:val="00035C5F"/>
    <w:rsid w:val="00036734"/>
    <w:rsid w:val="00040C71"/>
    <w:rsid w:val="00044910"/>
    <w:rsid w:val="00045D39"/>
    <w:rsid w:val="00047E77"/>
    <w:rsid w:val="00051147"/>
    <w:rsid w:val="00055B58"/>
    <w:rsid w:val="000614F2"/>
    <w:rsid w:val="000635E0"/>
    <w:rsid w:val="00071F99"/>
    <w:rsid w:val="000720CB"/>
    <w:rsid w:val="000759EE"/>
    <w:rsid w:val="00080A7B"/>
    <w:rsid w:val="00083C13"/>
    <w:rsid w:val="00085D76"/>
    <w:rsid w:val="000A0A7C"/>
    <w:rsid w:val="000A5E68"/>
    <w:rsid w:val="000A7B2B"/>
    <w:rsid w:val="000A7DF8"/>
    <w:rsid w:val="000B3545"/>
    <w:rsid w:val="000C0C62"/>
    <w:rsid w:val="000C1CE8"/>
    <w:rsid w:val="000C330D"/>
    <w:rsid w:val="000C5B72"/>
    <w:rsid w:val="000C7708"/>
    <w:rsid w:val="000D7809"/>
    <w:rsid w:val="000E16A4"/>
    <w:rsid w:val="000E2EE4"/>
    <w:rsid w:val="000E4227"/>
    <w:rsid w:val="000F02F7"/>
    <w:rsid w:val="000F77B8"/>
    <w:rsid w:val="000F7883"/>
    <w:rsid w:val="0010257A"/>
    <w:rsid w:val="001036FA"/>
    <w:rsid w:val="001053B9"/>
    <w:rsid w:val="00105B89"/>
    <w:rsid w:val="00106CEC"/>
    <w:rsid w:val="00113FB2"/>
    <w:rsid w:val="00117716"/>
    <w:rsid w:val="00125387"/>
    <w:rsid w:val="001254B4"/>
    <w:rsid w:val="00127839"/>
    <w:rsid w:val="00127893"/>
    <w:rsid w:val="00130BE1"/>
    <w:rsid w:val="001313D4"/>
    <w:rsid w:val="00134475"/>
    <w:rsid w:val="00136986"/>
    <w:rsid w:val="00137FF1"/>
    <w:rsid w:val="00140594"/>
    <w:rsid w:val="00155472"/>
    <w:rsid w:val="00157DA3"/>
    <w:rsid w:val="001611EC"/>
    <w:rsid w:val="001623EC"/>
    <w:rsid w:val="00164847"/>
    <w:rsid w:val="001674F3"/>
    <w:rsid w:val="00170F13"/>
    <w:rsid w:val="001737FF"/>
    <w:rsid w:val="001777D3"/>
    <w:rsid w:val="001807C5"/>
    <w:rsid w:val="00180B3F"/>
    <w:rsid w:val="00184506"/>
    <w:rsid w:val="00186EFD"/>
    <w:rsid w:val="00191F7A"/>
    <w:rsid w:val="00193681"/>
    <w:rsid w:val="00197E64"/>
    <w:rsid w:val="001A4735"/>
    <w:rsid w:val="001A5652"/>
    <w:rsid w:val="001A5AFB"/>
    <w:rsid w:val="001A657C"/>
    <w:rsid w:val="001A7061"/>
    <w:rsid w:val="001B0FD7"/>
    <w:rsid w:val="001B2C06"/>
    <w:rsid w:val="001B4DB7"/>
    <w:rsid w:val="001B4E2C"/>
    <w:rsid w:val="001B789D"/>
    <w:rsid w:val="001C03CB"/>
    <w:rsid w:val="001C35FB"/>
    <w:rsid w:val="001C376C"/>
    <w:rsid w:val="001C61A9"/>
    <w:rsid w:val="001C625C"/>
    <w:rsid w:val="001C6883"/>
    <w:rsid w:val="001C6B88"/>
    <w:rsid w:val="001C71AB"/>
    <w:rsid w:val="001D0F2E"/>
    <w:rsid w:val="001D1258"/>
    <w:rsid w:val="001D2239"/>
    <w:rsid w:val="001D3E23"/>
    <w:rsid w:val="001D5E4E"/>
    <w:rsid w:val="001E15A0"/>
    <w:rsid w:val="001E2E2D"/>
    <w:rsid w:val="001E35C9"/>
    <w:rsid w:val="001E3B9E"/>
    <w:rsid w:val="001E57A1"/>
    <w:rsid w:val="001E6008"/>
    <w:rsid w:val="001E6A30"/>
    <w:rsid w:val="001E7146"/>
    <w:rsid w:val="001F43E7"/>
    <w:rsid w:val="001F4489"/>
    <w:rsid w:val="001F5EAB"/>
    <w:rsid w:val="0020070B"/>
    <w:rsid w:val="00201FCC"/>
    <w:rsid w:val="00203A69"/>
    <w:rsid w:val="00203D1E"/>
    <w:rsid w:val="00204F76"/>
    <w:rsid w:val="002060E1"/>
    <w:rsid w:val="002129F8"/>
    <w:rsid w:val="00220A92"/>
    <w:rsid w:val="00222A94"/>
    <w:rsid w:val="00223EE6"/>
    <w:rsid w:val="0022520E"/>
    <w:rsid w:val="00226066"/>
    <w:rsid w:val="00227746"/>
    <w:rsid w:val="00231291"/>
    <w:rsid w:val="00232C60"/>
    <w:rsid w:val="0024048E"/>
    <w:rsid w:val="00240B8B"/>
    <w:rsid w:val="00241540"/>
    <w:rsid w:val="0024393E"/>
    <w:rsid w:val="00244E70"/>
    <w:rsid w:val="002474C0"/>
    <w:rsid w:val="00250762"/>
    <w:rsid w:val="002522CB"/>
    <w:rsid w:val="00252959"/>
    <w:rsid w:val="002532D8"/>
    <w:rsid w:val="00253A3E"/>
    <w:rsid w:val="0025464A"/>
    <w:rsid w:val="00257AEA"/>
    <w:rsid w:val="00260BCC"/>
    <w:rsid w:val="00263EFD"/>
    <w:rsid w:val="00263FBD"/>
    <w:rsid w:val="0026524A"/>
    <w:rsid w:val="00271ABD"/>
    <w:rsid w:val="00271FAC"/>
    <w:rsid w:val="00272650"/>
    <w:rsid w:val="00273318"/>
    <w:rsid w:val="00273EF8"/>
    <w:rsid w:val="002755AF"/>
    <w:rsid w:val="0027588E"/>
    <w:rsid w:val="002800BE"/>
    <w:rsid w:val="00281FEF"/>
    <w:rsid w:val="00282F0B"/>
    <w:rsid w:val="002861B9"/>
    <w:rsid w:val="00290449"/>
    <w:rsid w:val="00294456"/>
    <w:rsid w:val="00294480"/>
    <w:rsid w:val="0029626B"/>
    <w:rsid w:val="002967AF"/>
    <w:rsid w:val="002A1DF9"/>
    <w:rsid w:val="002A2544"/>
    <w:rsid w:val="002A3153"/>
    <w:rsid w:val="002A3682"/>
    <w:rsid w:val="002A3765"/>
    <w:rsid w:val="002A524F"/>
    <w:rsid w:val="002A6A0C"/>
    <w:rsid w:val="002B0E77"/>
    <w:rsid w:val="002B252C"/>
    <w:rsid w:val="002B28B5"/>
    <w:rsid w:val="002B476B"/>
    <w:rsid w:val="002B60A6"/>
    <w:rsid w:val="002C0669"/>
    <w:rsid w:val="002D341A"/>
    <w:rsid w:val="002D54EA"/>
    <w:rsid w:val="002D6C8F"/>
    <w:rsid w:val="002E3341"/>
    <w:rsid w:val="002E5E0E"/>
    <w:rsid w:val="002F0A06"/>
    <w:rsid w:val="002F2084"/>
    <w:rsid w:val="002F449B"/>
    <w:rsid w:val="002F765B"/>
    <w:rsid w:val="00301877"/>
    <w:rsid w:val="00303B09"/>
    <w:rsid w:val="0030696C"/>
    <w:rsid w:val="00307AB4"/>
    <w:rsid w:val="00312BE1"/>
    <w:rsid w:val="00312C0A"/>
    <w:rsid w:val="0031306E"/>
    <w:rsid w:val="00321229"/>
    <w:rsid w:val="00321248"/>
    <w:rsid w:val="00321755"/>
    <w:rsid w:val="003227B7"/>
    <w:rsid w:val="00322B90"/>
    <w:rsid w:val="00324267"/>
    <w:rsid w:val="003254B3"/>
    <w:rsid w:val="003267C8"/>
    <w:rsid w:val="0033023B"/>
    <w:rsid w:val="0033777C"/>
    <w:rsid w:val="00341C65"/>
    <w:rsid w:val="003427F8"/>
    <w:rsid w:val="0034785B"/>
    <w:rsid w:val="00347AF2"/>
    <w:rsid w:val="003513A1"/>
    <w:rsid w:val="00352258"/>
    <w:rsid w:val="003527E6"/>
    <w:rsid w:val="00353348"/>
    <w:rsid w:val="00353D02"/>
    <w:rsid w:val="00364470"/>
    <w:rsid w:val="00364C6D"/>
    <w:rsid w:val="00375E8A"/>
    <w:rsid w:val="0038441F"/>
    <w:rsid w:val="00385C0F"/>
    <w:rsid w:val="00387663"/>
    <w:rsid w:val="0039094F"/>
    <w:rsid w:val="00390FD6"/>
    <w:rsid w:val="003920EC"/>
    <w:rsid w:val="003A04D5"/>
    <w:rsid w:val="003A1113"/>
    <w:rsid w:val="003A4BC8"/>
    <w:rsid w:val="003B6022"/>
    <w:rsid w:val="003C08DD"/>
    <w:rsid w:val="003C1951"/>
    <w:rsid w:val="003C474B"/>
    <w:rsid w:val="003C4CA0"/>
    <w:rsid w:val="003C5E92"/>
    <w:rsid w:val="003C6741"/>
    <w:rsid w:val="003D00E8"/>
    <w:rsid w:val="003D0578"/>
    <w:rsid w:val="003D184D"/>
    <w:rsid w:val="003D429F"/>
    <w:rsid w:val="003D4F53"/>
    <w:rsid w:val="003D68F8"/>
    <w:rsid w:val="003D6E29"/>
    <w:rsid w:val="003D7C22"/>
    <w:rsid w:val="003E04A2"/>
    <w:rsid w:val="003E12DD"/>
    <w:rsid w:val="003E164C"/>
    <w:rsid w:val="003E2CF9"/>
    <w:rsid w:val="003E3082"/>
    <w:rsid w:val="003E5039"/>
    <w:rsid w:val="003E606F"/>
    <w:rsid w:val="003F1F3A"/>
    <w:rsid w:val="003F3F85"/>
    <w:rsid w:val="003F6A64"/>
    <w:rsid w:val="003F6D3A"/>
    <w:rsid w:val="003F6FB6"/>
    <w:rsid w:val="004005A0"/>
    <w:rsid w:val="00400EF4"/>
    <w:rsid w:val="0040492A"/>
    <w:rsid w:val="004066E2"/>
    <w:rsid w:val="00410159"/>
    <w:rsid w:val="004121B4"/>
    <w:rsid w:val="00412A22"/>
    <w:rsid w:val="0041496E"/>
    <w:rsid w:val="00414C0E"/>
    <w:rsid w:val="00424228"/>
    <w:rsid w:val="00425B65"/>
    <w:rsid w:val="00425D60"/>
    <w:rsid w:val="0042720C"/>
    <w:rsid w:val="004300CD"/>
    <w:rsid w:val="00432C5E"/>
    <w:rsid w:val="00433BC8"/>
    <w:rsid w:val="004358E6"/>
    <w:rsid w:val="0043652E"/>
    <w:rsid w:val="00436DBB"/>
    <w:rsid w:val="00437856"/>
    <w:rsid w:val="00443088"/>
    <w:rsid w:val="00446B89"/>
    <w:rsid w:val="00451583"/>
    <w:rsid w:val="00453E90"/>
    <w:rsid w:val="004549C9"/>
    <w:rsid w:val="004555CE"/>
    <w:rsid w:val="00460C4B"/>
    <w:rsid w:val="00460D2D"/>
    <w:rsid w:val="004643A9"/>
    <w:rsid w:val="00470045"/>
    <w:rsid w:val="00470D78"/>
    <w:rsid w:val="00471DE0"/>
    <w:rsid w:val="00476F55"/>
    <w:rsid w:val="0048697D"/>
    <w:rsid w:val="00487821"/>
    <w:rsid w:val="0049290F"/>
    <w:rsid w:val="00493A5F"/>
    <w:rsid w:val="0049796D"/>
    <w:rsid w:val="004A1FCE"/>
    <w:rsid w:val="004A2CE2"/>
    <w:rsid w:val="004A5D48"/>
    <w:rsid w:val="004A5EA5"/>
    <w:rsid w:val="004A6665"/>
    <w:rsid w:val="004A70FA"/>
    <w:rsid w:val="004B1ADB"/>
    <w:rsid w:val="004B2C37"/>
    <w:rsid w:val="004B57BB"/>
    <w:rsid w:val="004B5B6D"/>
    <w:rsid w:val="004B733D"/>
    <w:rsid w:val="004B77F0"/>
    <w:rsid w:val="004C0E31"/>
    <w:rsid w:val="004C171F"/>
    <w:rsid w:val="004C507F"/>
    <w:rsid w:val="004C5E97"/>
    <w:rsid w:val="004C6F21"/>
    <w:rsid w:val="004D38A7"/>
    <w:rsid w:val="004D48E9"/>
    <w:rsid w:val="004D5EDD"/>
    <w:rsid w:val="004D7F27"/>
    <w:rsid w:val="004E1FE0"/>
    <w:rsid w:val="004E58D6"/>
    <w:rsid w:val="004E76F0"/>
    <w:rsid w:val="004F1100"/>
    <w:rsid w:val="004F3F3B"/>
    <w:rsid w:val="004F4AE4"/>
    <w:rsid w:val="004F707D"/>
    <w:rsid w:val="004F7A98"/>
    <w:rsid w:val="004F7AE5"/>
    <w:rsid w:val="004F7C2A"/>
    <w:rsid w:val="005019DC"/>
    <w:rsid w:val="00501CB9"/>
    <w:rsid w:val="00501D2C"/>
    <w:rsid w:val="00502F9B"/>
    <w:rsid w:val="00504614"/>
    <w:rsid w:val="00506B4D"/>
    <w:rsid w:val="005077BF"/>
    <w:rsid w:val="00510F24"/>
    <w:rsid w:val="00511200"/>
    <w:rsid w:val="00516F03"/>
    <w:rsid w:val="00520D74"/>
    <w:rsid w:val="00520EF8"/>
    <w:rsid w:val="005239A5"/>
    <w:rsid w:val="0052731C"/>
    <w:rsid w:val="00527635"/>
    <w:rsid w:val="00527D19"/>
    <w:rsid w:val="00531149"/>
    <w:rsid w:val="00533675"/>
    <w:rsid w:val="005368BA"/>
    <w:rsid w:val="00540C93"/>
    <w:rsid w:val="005410D9"/>
    <w:rsid w:val="00541AE5"/>
    <w:rsid w:val="00542323"/>
    <w:rsid w:val="0054310D"/>
    <w:rsid w:val="00547C5B"/>
    <w:rsid w:val="0055509F"/>
    <w:rsid w:val="00555C70"/>
    <w:rsid w:val="00562428"/>
    <w:rsid w:val="00562ABF"/>
    <w:rsid w:val="0056798B"/>
    <w:rsid w:val="005704B7"/>
    <w:rsid w:val="00570776"/>
    <w:rsid w:val="0057261D"/>
    <w:rsid w:val="005747D6"/>
    <w:rsid w:val="00575F11"/>
    <w:rsid w:val="005769B7"/>
    <w:rsid w:val="005919CD"/>
    <w:rsid w:val="00591E8D"/>
    <w:rsid w:val="00592135"/>
    <w:rsid w:val="00592D77"/>
    <w:rsid w:val="00592EB1"/>
    <w:rsid w:val="00593928"/>
    <w:rsid w:val="005A2810"/>
    <w:rsid w:val="005A4652"/>
    <w:rsid w:val="005A4B10"/>
    <w:rsid w:val="005A6099"/>
    <w:rsid w:val="005A68A6"/>
    <w:rsid w:val="005B4CB8"/>
    <w:rsid w:val="005B5175"/>
    <w:rsid w:val="005B55D6"/>
    <w:rsid w:val="005B62A1"/>
    <w:rsid w:val="005C051F"/>
    <w:rsid w:val="005C0D3F"/>
    <w:rsid w:val="005C0F62"/>
    <w:rsid w:val="005C6074"/>
    <w:rsid w:val="005C61F3"/>
    <w:rsid w:val="005D3F4D"/>
    <w:rsid w:val="005D5278"/>
    <w:rsid w:val="005D5C80"/>
    <w:rsid w:val="005D7540"/>
    <w:rsid w:val="005D7F4C"/>
    <w:rsid w:val="005E07A8"/>
    <w:rsid w:val="005E0E00"/>
    <w:rsid w:val="005E17D2"/>
    <w:rsid w:val="005E4093"/>
    <w:rsid w:val="005E4375"/>
    <w:rsid w:val="005F6A75"/>
    <w:rsid w:val="0060099C"/>
    <w:rsid w:val="00600AE1"/>
    <w:rsid w:val="00602A3C"/>
    <w:rsid w:val="006039BA"/>
    <w:rsid w:val="00603F77"/>
    <w:rsid w:val="00604889"/>
    <w:rsid w:val="006129BD"/>
    <w:rsid w:val="00613ADB"/>
    <w:rsid w:val="0061406B"/>
    <w:rsid w:val="0061527F"/>
    <w:rsid w:val="006204A6"/>
    <w:rsid w:val="0062135F"/>
    <w:rsid w:val="00622474"/>
    <w:rsid w:val="006228DA"/>
    <w:rsid w:val="00623C26"/>
    <w:rsid w:val="00634033"/>
    <w:rsid w:val="00634DEC"/>
    <w:rsid w:val="00650686"/>
    <w:rsid w:val="00651438"/>
    <w:rsid w:val="0065228B"/>
    <w:rsid w:val="006612E2"/>
    <w:rsid w:val="0066203E"/>
    <w:rsid w:val="00663C92"/>
    <w:rsid w:val="006641E4"/>
    <w:rsid w:val="00665070"/>
    <w:rsid w:val="006660CF"/>
    <w:rsid w:val="00671FAE"/>
    <w:rsid w:val="00674952"/>
    <w:rsid w:val="00692889"/>
    <w:rsid w:val="006937D8"/>
    <w:rsid w:val="0069430C"/>
    <w:rsid w:val="00695280"/>
    <w:rsid w:val="00695650"/>
    <w:rsid w:val="00696106"/>
    <w:rsid w:val="00697341"/>
    <w:rsid w:val="006974DC"/>
    <w:rsid w:val="006A43B6"/>
    <w:rsid w:val="006A558E"/>
    <w:rsid w:val="006B07A5"/>
    <w:rsid w:val="006B50A0"/>
    <w:rsid w:val="006B6A8F"/>
    <w:rsid w:val="006D016B"/>
    <w:rsid w:val="006D0C05"/>
    <w:rsid w:val="006D4409"/>
    <w:rsid w:val="006D5D4B"/>
    <w:rsid w:val="006D7C2A"/>
    <w:rsid w:val="006D7D4A"/>
    <w:rsid w:val="006E14F4"/>
    <w:rsid w:val="006E19C4"/>
    <w:rsid w:val="006E24C3"/>
    <w:rsid w:val="006F066F"/>
    <w:rsid w:val="006F1DC5"/>
    <w:rsid w:val="006F5339"/>
    <w:rsid w:val="00702C39"/>
    <w:rsid w:val="00705E41"/>
    <w:rsid w:val="00706765"/>
    <w:rsid w:val="00714DE2"/>
    <w:rsid w:val="00715B18"/>
    <w:rsid w:val="007163CB"/>
    <w:rsid w:val="007249AE"/>
    <w:rsid w:val="00730769"/>
    <w:rsid w:val="00736D81"/>
    <w:rsid w:val="0073715C"/>
    <w:rsid w:val="00740362"/>
    <w:rsid w:val="00741B2D"/>
    <w:rsid w:val="00746020"/>
    <w:rsid w:val="00747319"/>
    <w:rsid w:val="0075015B"/>
    <w:rsid w:val="00750200"/>
    <w:rsid w:val="00751F53"/>
    <w:rsid w:val="0075304B"/>
    <w:rsid w:val="00754BCC"/>
    <w:rsid w:val="00756338"/>
    <w:rsid w:val="00756D16"/>
    <w:rsid w:val="00757241"/>
    <w:rsid w:val="007631AF"/>
    <w:rsid w:val="00765685"/>
    <w:rsid w:val="007718E8"/>
    <w:rsid w:val="00771BBE"/>
    <w:rsid w:val="0077375E"/>
    <w:rsid w:val="00777B5E"/>
    <w:rsid w:val="0079079B"/>
    <w:rsid w:val="007973AE"/>
    <w:rsid w:val="007A1E93"/>
    <w:rsid w:val="007A3ED4"/>
    <w:rsid w:val="007A66F5"/>
    <w:rsid w:val="007A6FF5"/>
    <w:rsid w:val="007B3320"/>
    <w:rsid w:val="007B4850"/>
    <w:rsid w:val="007B524C"/>
    <w:rsid w:val="007C1BE1"/>
    <w:rsid w:val="007C4B55"/>
    <w:rsid w:val="007C7CDE"/>
    <w:rsid w:val="007D4FCD"/>
    <w:rsid w:val="007D77D7"/>
    <w:rsid w:val="007D7A0F"/>
    <w:rsid w:val="007E001E"/>
    <w:rsid w:val="007E1767"/>
    <w:rsid w:val="007E27CB"/>
    <w:rsid w:val="007E3397"/>
    <w:rsid w:val="007E4E58"/>
    <w:rsid w:val="007E6459"/>
    <w:rsid w:val="007F5E91"/>
    <w:rsid w:val="007F7D7B"/>
    <w:rsid w:val="008015E9"/>
    <w:rsid w:val="008035E3"/>
    <w:rsid w:val="00803BB2"/>
    <w:rsid w:val="00804F27"/>
    <w:rsid w:val="00807B5C"/>
    <w:rsid w:val="008110DE"/>
    <w:rsid w:val="00812CB1"/>
    <w:rsid w:val="00815331"/>
    <w:rsid w:val="008206A3"/>
    <w:rsid w:val="008214C3"/>
    <w:rsid w:val="008236A8"/>
    <w:rsid w:val="00825FAB"/>
    <w:rsid w:val="00826576"/>
    <w:rsid w:val="00831F0C"/>
    <w:rsid w:val="008333D8"/>
    <w:rsid w:val="0083458B"/>
    <w:rsid w:val="00834E49"/>
    <w:rsid w:val="00835113"/>
    <w:rsid w:val="008351CF"/>
    <w:rsid w:val="00835284"/>
    <w:rsid w:val="008353C5"/>
    <w:rsid w:val="008368CD"/>
    <w:rsid w:val="00836BBF"/>
    <w:rsid w:val="0084405A"/>
    <w:rsid w:val="008450AB"/>
    <w:rsid w:val="008517A8"/>
    <w:rsid w:val="00851903"/>
    <w:rsid w:val="008534E1"/>
    <w:rsid w:val="00856AEA"/>
    <w:rsid w:val="00860E56"/>
    <w:rsid w:val="00861301"/>
    <w:rsid w:val="00863063"/>
    <w:rsid w:val="00863DFA"/>
    <w:rsid w:val="00864702"/>
    <w:rsid w:val="00866B6D"/>
    <w:rsid w:val="00872336"/>
    <w:rsid w:val="008738FC"/>
    <w:rsid w:val="00875F3E"/>
    <w:rsid w:val="00876772"/>
    <w:rsid w:val="00881959"/>
    <w:rsid w:val="00881DC3"/>
    <w:rsid w:val="008857C2"/>
    <w:rsid w:val="008901AD"/>
    <w:rsid w:val="00894B08"/>
    <w:rsid w:val="00897076"/>
    <w:rsid w:val="0089725C"/>
    <w:rsid w:val="008A1B20"/>
    <w:rsid w:val="008A1F60"/>
    <w:rsid w:val="008A21BF"/>
    <w:rsid w:val="008A6515"/>
    <w:rsid w:val="008B0644"/>
    <w:rsid w:val="008B300F"/>
    <w:rsid w:val="008B3C8F"/>
    <w:rsid w:val="008B3D2D"/>
    <w:rsid w:val="008B66F3"/>
    <w:rsid w:val="008C18DE"/>
    <w:rsid w:val="008C1A55"/>
    <w:rsid w:val="008C1DD6"/>
    <w:rsid w:val="008C30C0"/>
    <w:rsid w:val="008C5865"/>
    <w:rsid w:val="008D004B"/>
    <w:rsid w:val="008D0F5E"/>
    <w:rsid w:val="008D2FF7"/>
    <w:rsid w:val="008D3CC5"/>
    <w:rsid w:val="008D5BA3"/>
    <w:rsid w:val="008D64B1"/>
    <w:rsid w:val="008D78C4"/>
    <w:rsid w:val="008E27A1"/>
    <w:rsid w:val="008E3A41"/>
    <w:rsid w:val="008E4F7D"/>
    <w:rsid w:val="008E5D4D"/>
    <w:rsid w:val="008F08DF"/>
    <w:rsid w:val="008F20C9"/>
    <w:rsid w:val="008F3298"/>
    <w:rsid w:val="008F4B5B"/>
    <w:rsid w:val="0090165A"/>
    <w:rsid w:val="009017A8"/>
    <w:rsid w:val="009043BB"/>
    <w:rsid w:val="00904BB2"/>
    <w:rsid w:val="0090563C"/>
    <w:rsid w:val="00906EEA"/>
    <w:rsid w:val="00910E95"/>
    <w:rsid w:val="00911C3F"/>
    <w:rsid w:val="00920862"/>
    <w:rsid w:val="009257D0"/>
    <w:rsid w:val="00926F89"/>
    <w:rsid w:val="00927EE9"/>
    <w:rsid w:val="00931992"/>
    <w:rsid w:val="0093792D"/>
    <w:rsid w:val="00940491"/>
    <w:rsid w:val="009417D6"/>
    <w:rsid w:val="00952A06"/>
    <w:rsid w:val="009531F5"/>
    <w:rsid w:val="0095324F"/>
    <w:rsid w:val="00953BC3"/>
    <w:rsid w:val="0095472F"/>
    <w:rsid w:val="00955865"/>
    <w:rsid w:val="0096094E"/>
    <w:rsid w:val="00960D2C"/>
    <w:rsid w:val="0096199F"/>
    <w:rsid w:val="009634D1"/>
    <w:rsid w:val="00972114"/>
    <w:rsid w:val="009734C1"/>
    <w:rsid w:val="00975746"/>
    <w:rsid w:val="00980934"/>
    <w:rsid w:val="00984056"/>
    <w:rsid w:val="00984D79"/>
    <w:rsid w:val="00991B7D"/>
    <w:rsid w:val="00991CD6"/>
    <w:rsid w:val="00992A03"/>
    <w:rsid w:val="00994354"/>
    <w:rsid w:val="0099714F"/>
    <w:rsid w:val="00997BA6"/>
    <w:rsid w:val="009A144F"/>
    <w:rsid w:val="009A1ACA"/>
    <w:rsid w:val="009A32FD"/>
    <w:rsid w:val="009A5A8F"/>
    <w:rsid w:val="009A617C"/>
    <w:rsid w:val="009A73E2"/>
    <w:rsid w:val="009B1D81"/>
    <w:rsid w:val="009B4044"/>
    <w:rsid w:val="009B4933"/>
    <w:rsid w:val="009C280B"/>
    <w:rsid w:val="009C6D04"/>
    <w:rsid w:val="009D2A2F"/>
    <w:rsid w:val="009D6926"/>
    <w:rsid w:val="009D6B1F"/>
    <w:rsid w:val="009D6D6C"/>
    <w:rsid w:val="009E242C"/>
    <w:rsid w:val="009F0598"/>
    <w:rsid w:val="009F204B"/>
    <w:rsid w:val="009F26A2"/>
    <w:rsid w:val="009F3996"/>
    <w:rsid w:val="009F4249"/>
    <w:rsid w:val="009F4906"/>
    <w:rsid w:val="009F5855"/>
    <w:rsid w:val="009F61C5"/>
    <w:rsid w:val="00A01251"/>
    <w:rsid w:val="00A02CF5"/>
    <w:rsid w:val="00A04800"/>
    <w:rsid w:val="00A04BA4"/>
    <w:rsid w:val="00A07F44"/>
    <w:rsid w:val="00A10438"/>
    <w:rsid w:val="00A10875"/>
    <w:rsid w:val="00A1427C"/>
    <w:rsid w:val="00A1782F"/>
    <w:rsid w:val="00A20C00"/>
    <w:rsid w:val="00A22862"/>
    <w:rsid w:val="00A22B48"/>
    <w:rsid w:val="00A240DB"/>
    <w:rsid w:val="00A242B5"/>
    <w:rsid w:val="00A25EE7"/>
    <w:rsid w:val="00A3090F"/>
    <w:rsid w:val="00A343F2"/>
    <w:rsid w:val="00A357D0"/>
    <w:rsid w:val="00A3694E"/>
    <w:rsid w:val="00A36EEC"/>
    <w:rsid w:val="00A42434"/>
    <w:rsid w:val="00A42C77"/>
    <w:rsid w:val="00A437EC"/>
    <w:rsid w:val="00A45759"/>
    <w:rsid w:val="00A4709C"/>
    <w:rsid w:val="00A47D1F"/>
    <w:rsid w:val="00A515EE"/>
    <w:rsid w:val="00A55D2D"/>
    <w:rsid w:val="00A56C96"/>
    <w:rsid w:val="00A62481"/>
    <w:rsid w:val="00A64DFC"/>
    <w:rsid w:val="00A6715E"/>
    <w:rsid w:val="00A71D78"/>
    <w:rsid w:val="00A76095"/>
    <w:rsid w:val="00A76988"/>
    <w:rsid w:val="00A8018D"/>
    <w:rsid w:val="00A801CE"/>
    <w:rsid w:val="00A81D71"/>
    <w:rsid w:val="00A824BA"/>
    <w:rsid w:val="00A84013"/>
    <w:rsid w:val="00A84489"/>
    <w:rsid w:val="00A86AB7"/>
    <w:rsid w:val="00A92E78"/>
    <w:rsid w:val="00A94FED"/>
    <w:rsid w:val="00A9572E"/>
    <w:rsid w:val="00A966FA"/>
    <w:rsid w:val="00AA131F"/>
    <w:rsid w:val="00AA427E"/>
    <w:rsid w:val="00AA62CD"/>
    <w:rsid w:val="00AA6CAC"/>
    <w:rsid w:val="00AB0172"/>
    <w:rsid w:val="00AB08BD"/>
    <w:rsid w:val="00AB31C3"/>
    <w:rsid w:val="00AB3E2D"/>
    <w:rsid w:val="00AB51AE"/>
    <w:rsid w:val="00AC013D"/>
    <w:rsid w:val="00AC02F2"/>
    <w:rsid w:val="00AC1EFE"/>
    <w:rsid w:val="00AC3A90"/>
    <w:rsid w:val="00AC5734"/>
    <w:rsid w:val="00AD24EC"/>
    <w:rsid w:val="00AD38A4"/>
    <w:rsid w:val="00AE043A"/>
    <w:rsid w:val="00AE3E0C"/>
    <w:rsid w:val="00AE5DE5"/>
    <w:rsid w:val="00AE6422"/>
    <w:rsid w:val="00B007A3"/>
    <w:rsid w:val="00B0433B"/>
    <w:rsid w:val="00B045E3"/>
    <w:rsid w:val="00B054C3"/>
    <w:rsid w:val="00B071AE"/>
    <w:rsid w:val="00B11686"/>
    <w:rsid w:val="00B12B4F"/>
    <w:rsid w:val="00B12ECD"/>
    <w:rsid w:val="00B17BF2"/>
    <w:rsid w:val="00B21CE3"/>
    <w:rsid w:val="00B220F2"/>
    <w:rsid w:val="00B234E2"/>
    <w:rsid w:val="00B245BD"/>
    <w:rsid w:val="00B24998"/>
    <w:rsid w:val="00B31A5C"/>
    <w:rsid w:val="00B32F52"/>
    <w:rsid w:val="00B345CA"/>
    <w:rsid w:val="00B35701"/>
    <w:rsid w:val="00B3607C"/>
    <w:rsid w:val="00B420C8"/>
    <w:rsid w:val="00B42408"/>
    <w:rsid w:val="00B45AF4"/>
    <w:rsid w:val="00B465DA"/>
    <w:rsid w:val="00B47803"/>
    <w:rsid w:val="00B50274"/>
    <w:rsid w:val="00B51566"/>
    <w:rsid w:val="00B529B2"/>
    <w:rsid w:val="00B57A1C"/>
    <w:rsid w:val="00B603C7"/>
    <w:rsid w:val="00B6256F"/>
    <w:rsid w:val="00B63F75"/>
    <w:rsid w:val="00B65797"/>
    <w:rsid w:val="00B6684F"/>
    <w:rsid w:val="00B67B3F"/>
    <w:rsid w:val="00B722F3"/>
    <w:rsid w:val="00B74125"/>
    <w:rsid w:val="00B75556"/>
    <w:rsid w:val="00B757BF"/>
    <w:rsid w:val="00B83D36"/>
    <w:rsid w:val="00B844B0"/>
    <w:rsid w:val="00B867C2"/>
    <w:rsid w:val="00B871D7"/>
    <w:rsid w:val="00B92D02"/>
    <w:rsid w:val="00B941F0"/>
    <w:rsid w:val="00B947E9"/>
    <w:rsid w:val="00B97E8D"/>
    <w:rsid w:val="00BA342C"/>
    <w:rsid w:val="00BA3901"/>
    <w:rsid w:val="00BB174B"/>
    <w:rsid w:val="00BB384C"/>
    <w:rsid w:val="00BB3DD0"/>
    <w:rsid w:val="00BB4380"/>
    <w:rsid w:val="00BB5095"/>
    <w:rsid w:val="00BB702C"/>
    <w:rsid w:val="00BC40C9"/>
    <w:rsid w:val="00BC55FF"/>
    <w:rsid w:val="00BC5969"/>
    <w:rsid w:val="00BC6AD0"/>
    <w:rsid w:val="00BD0C8E"/>
    <w:rsid w:val="00BD2DFB"/>
    <w:rsid w:val="00BD7DED"/>
    <w:rsid w:val="00BE0499"/>
    <w:rsid w:val="00BE0FB0"/>
    <w:rsid w:val="00BE6391"/>
    <w:rsid w:val="00BF0E03"/>
    <w:rsid w:val="00BF2E00"/>
    <w:rsid w:val="00C0159F"/>
    <w:rsid w:val="00C044E7"/>
    <w:rsid w:val="00C05EED"/>
    <w:rsid w:val="00C07DD6"/>
    <w:rsid w:val="00C10213"/>
    <w:rsid w:val="00C1034A"/>
    <w:rsid w:val="00C10DB1"/>
    <w:rsid w:val="00C10EAF"/>
    <w:rsid w:val="00C124F0"/>
    <w:rsid w:val="00C12915"/>
    <w:rsid w:val="00C16593"/>
    <w:rsid w:val="00C20A48"/>
    <w:rsid w:val="00C227F0"/>
    <w:rsid w:val="00C23E4C"/>
    <w:rsid w:val="00C242BC"/>
    <w:rsid w:val="00C32B98"/>
    <w:rsid w:val="00C4043B"/>
    <w:rsid w:val="00C54184"/>
    <w:rsid w:val="00C61B40"/>
    <w:rsid w:val="00C61F36"/>
    <w:rsid w:val="00C64F82"/>
    <w:rsid w:val="00C7625E"/>
    <w:rsid w:val="00C84383"/>
    <w:rsid w:val="00C95FDD"/>
    <w:rsid w:val="00C96A86"/>
    <w:rsid w:val="00C97E4E"/>
    <w:rsid w:val="00CA0D06"/>
    <w:rsid w:val="00CB037E"/>
    <w:rsid w:val="00CB69F8"/>
    <w:rsid w:val="00CC706F"/>
    <w:rsid w:val="00CC77EB"/>
    <w:rsid w:val="00CD3715"/>
    <w:rsid w:val="00CE2013"/>
    <w:rsid w:val="00CE220E"/>
    <w:rsid w:val="00CE29FB"/>
    <w:rsid w:val="00CE46A5"/>
    <w:rsid w:val="00CF071A"/>
    <w:rsid w:val="00CF2AFC"/>
    <w:rsid w:val="00CF31D0"/>
    <w:rsid w:val="00CF3C0E"/>
    <w:rsid w:val="00D04843"/>
    <w:rsid w:val="00D04AFC"/>
    <w:rsid w:val="00D054E8"/>
    <w:rsid w:val="00D063D5"/>
    <w:rsid w:val="00D068E7"/>
    <w:rsid w:val="00D07F8E"/>
    <w:rsid w:val="00D131C2"/>
    <w:rsid w:val="00D167BE"/>
    <w:rsid w:val="00D23414"/>
    <w:rsid w:val="00D254C3"/>
    <w:rsid w:val="00D26334"/>
    <w:rsid w:val="00D26C47"/>
    <w:rsid w:val="00D308FB"/>
    <w:rsid w:val="00D32A8A"/>
    <w:rsid w:val="00D34474"/>
    <w:rsid w:val="00D4359C"/>
    <w:rsid w:val="00D45B24"/>
    <w:rsid w:val="00D50495"/>
    <w:rsid w:val="00D530E5"/>
    <w:rsid w:val="00D547DC"/>
    <w:rsid w:val="00D55A94"/>
    <w:rsid w:val="00D56787"/>
    <w:rsid w:val="00D70C1A"/>
    <w:rsid w:val="00D70E6F"/>
    <w:rsid w:val="00D710C8"/>
    <w:rsid w:val="00D7192A"/>
    <w:rsid w:val="00D72DCC"/>
    <w:rsid w:val="00D7405C"/>
    <w:rsid w:val="00D758B4"/>
    <w:rsid w:val="00D80C42"/>
    <w:rsid w:val="00D82A53"/>
    <w:rsid w:val="00D86803"/>
    <w:rsid w:val="00D95A6E"/>
    <w:rsid w:val="00D96505"/>
    <w:rsid w:val="00DA576C"/>
    <w:rsid w:val="00DA6BC6"/>
    <w:rsid w:val="00DB24F6"/>
    <w:rsid w:val="00DB498C"/>
    <w:rsid w:val="00DC4EDB"/>
    <w:rsid w:val="00DC5001"/>
    <w:rsid w:val="00DC64E4"/>
    <w:rsid w:val="00DC7985"/>
    <w:rsid w:val="00DD22AD"/>
    <w:rsid w:val="00DD73BB"/>
    <w:rsid w:val="00DE0676"/>
    <w:rsid w:val="00DE20E1"/>
    <w:rsid w:val="00DE3B37"/>
    <w:rsid w:val="00DF1531"/>
    <w:rsid w:val="00DF1EB3"/>
    <w:rsid w:val="00DF237E"/>
    <w:rsid w:val="00DF3E04"/>
    <w:rsid w:val="00E02BE6"/>
    <w:rsid w:val="00E113BA"/>
    <w:rsid w:val="00E11D57"/>
    <w:rsid w:val="00E14137"/>
    <w:rsid w:val="00E14143"/>
    <w:rsid w:val="00E14B83"/>
    <w:rsid w:val="00E17D36"/>
    <w:rsid w:val="00E2301C"/>
    <w:rsid w:val="00E23453"/>
    <w:rsid w:val="00E265A0"/>
    <w:rsid w:val="00E375C9"/>
    <w:rsid w:val="00E37E25"/>
    <w:rsid w:val="00E41D30"/>
    <w:rsid w:val="00E41D74"/>
    <w:rsid w:val="00E427DF"/>
    <w:rsid w:val="00E45E1C"/>
    <w:rsid w:val="00E52451"/>
    <w:rsid w:val="00E550A4"/>
    <w:rsid w:val="00E55691"/>
    <w:rsid w:val="00E61045"/>
    <w:rsid w:val="00E62A03"/>
    <w:rsid w:val="00E70777"/>
    <w:rsid w:val="00E71941"/>
    <w:rsid w:val="00E73730"/>
    <w:rsid w:val="00E75D71"/>
    <w:rsid w:val="00E7704F"/>
    <w:rsid w:val="00E77D9A"/>
    <w:rsid w:val="00E80AB7"/>
    <w:rsid w:val="00E83663"/>
    <w:rsid w:val="00E92EDF"/>
    <w:rsid w:val="00E94EFC"/>
    <w:rsid w:val="00E97C1A"/>
    <w:rsid w:val="00EA3750"/>
    <w:rsid w:val="00EA48FE"/>
    <w:rsid w:val="00EA700C"/>
    <w:rsid w:val="00EB0855"/>
    <w:rsid w:val="00EB299A"/>
    <w:rsid w:val="00EB313D"/>
    <w:rsid w:val="00EB3817"/>
    <w:rsid w:val="00EB64EC"/>
    <w:rsid w:val="00EC143A"/>
    <w:rsid w:val="00EC1D0D"/>
    <w:rsid w:val="00EC388A"/>
    <w:rsid w:val="00EC770D"/>
    <w:rsid w:val="00ED0965"/>
    <w:rsid w:val="00ED13D6"/>
    <w:rsid w:val="00ED23BA"/>
    <w:rsid w:val="00ED2854"/>
    <w:rsid w:val="00ED2C88"/>
    <w:rsid w:val="00ED527D"/>
    <w:rsid w:val="00ED789C"/>
    <w:rsid w:val="00ED7E1A"/>
    <w:rsid w:val="00EE45C9"/>
    <w:rsid w:val="00EE4DA4"/>
    <w:rsid w:val="00EF17B0"/>
    <w:rsid w:val="00EF2644"/>
    <w:rsid w:val="00EF607F"/>
    <w:rsid w:val="00EF67B3"/>
    <w:rsid w:val="00F00E39"/>
    <w:rsid w:val="00F027C0"/>
    <w:rsid w:val="00F055E2"/>
    <w:rsid w:val="00F064A3"/>
    <w:rsid w:val="00F06BE5"/>
    <w:rsid w:val="00F06FBA"/>
    <w:rsid w:val="00F10273"/>
    <w:rsid w:val="00F10E1D"/>
    <w:rsid w:val="00F11A18"/>
    <w:rsid w:val="00F13395"/>
    <w:rsid w:val="00F15B62"/>
    <w:rsid w:val="00F266E5"/>
    <w:rsid w:val="00F31712"/>
    <w:rsid w:val="00F4283D"/>
    <w:rsid w:val="00F42EAA"/>
    <w:rsid w:val="00F45495"/>
    <w:rsid w:val="00F46BE2"/>
    <w:rsid w:val="00F50571"/>
    <w:rsid w:val="00F540BE"/>
    <w:rsid w:val="00F54767"/>
    <w:rsid w:val="00F55044"/>
    <w:rsid w:val="00F562EE"/>
    <w:rsid w:val="00F57C87"/>
    <w:rsid w:val="00F606CF"/>
    <w:rsid w:val="00F608F7"/>
    <w:rsid w:val="00F62208"/>
    <w:rsid w:val="00F62D43"/>
    <w:rsid w:val="00F6479E"/>
    <w:rsid w:val="00F648EB"/>
    <w:rsid w:val="00F71DDC"/>
    <w:rsid w:val="00F72A08"/>
    <w:rsid w:val="00F7597C"/>
    <w:rsid w:val="00F81ECA"/>
    <w:rsid w:val="00F820E3"/>
    <w:rsid w:val="00F879F9"/>
    <w:rsid w:val="00F92425"/>
    <w:rsid w:val="00F92BE0"/>
    <w:rsid w:val="00F93349"/>
    <w:rsid w:val="00F93655"/>
    <w:rsid w:val="00F94006"/>
    <w:rsid w:val="00F95117"/>
    <w:rsid w:val="00FA0562"/>
    <w:rsid w:val="00FA4190"/>
    <w:rsid w:val="00FA473B"/>
    <w:rsid w:val="00FB2AAA"/>
    <w:rsid w:val="00FB3E7D"/>
    <w:rsid w:val="00FB42A1"/>
    <w:rsid w:val="00FC2ADF"/>
    <w:rsid w:val="00FC5C57"/>
    <w:rsid w:val="00FD045E"/>
    <w:rsid w:val="00FD1276"/>
    <w:rsid w:val="00FD343B"/>
    <w:rsid w:val="00FD35E0"/>
    <w:rsid w:val="00FD4C2C"/>
    <w:rsid w:val="00FD5095"/>
    <w:rsid w:val="00FD54FC"/>
    <w:rsid w:val="00FD58EF"/>
    <w:rsid w:val="00FD6B4F"/>
    <w:rsid w:val="00FD6E84"/>
    <w:rsid w:val="00FE35A4"/>
    <w:rsid w:val="00FE768B"/>
    <w:rsid w:val="00FE76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7F9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0FB0"/>
    <w:pPr>
      <w:jc w:val="center"/>
    </w:pPr>
  </w:style>
  <w:style w:type="paragraph" w:styleId="Heading1">
    <w:name w:val="heading 1"/>
    <w:basedOn w:val="Normal"/>
    <w:next w:val="Normal"/>
    <w:link w:val="Heading1Char"/>
    <w:uiPriority w:val="9"/>
    <w:qFormat/>
    <w:rsid w:val="00BE0FB0"/>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E0FB0"/>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BE0FB0"/>
    <w:pPr>
      <w:numPr>
        <w:ilvl w:val="2"/>
        <w:numId w:val="6"/>
      </w:numPr>
      <w:spacing w:line="240" w:lineRule="exact"/>
      <w:jc w:val="both"/>
      <w:outlineLvl w:val="2"/>
    </w:pPr>
    <w:rPr>
      <w:i/>
      <w:iCs/>
      <w:noProof/>
    </w:rPr>
  </w:style>
  <w:style w:type="paragraph" w:styleId="Heading4">
    <w:name w:val="heading 4"/>
    <w:basedOn w:val="Normal"/>
    <w:next w:val="Normal"/>
    <w:qFormat/>
    <w:rsid w:val="00BE0FB0"/>
    <w:pPr>
      <w:numPr>
        <w:ilvl w:val="3"/>
        <w:numId w:val="7"/>
      </w:numPr>
      <w:spacing w:before="40" w:after="40"/>
      <w:jc w:val="both"/>
      <w:outlineLvl w:val="3"/>
    </w:pPr>
    <w:rPr>
      <w:i/>
      <w:iCs/>
      <w:noProof/>
    </w:rPr>
  </w:style>
  <w:style w:type="paragraph" w:styleId="Heading5">
    <w:name w:val="heading 5"/>
    <w:basedOn w:val="Normal"/>
    <w:next w:val="Normal"/>
    <w:qFormat/>
    <w:rsid w:val="00BE0FB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BE0FB0"/>
    <w:pPr>
      <w:spacing w:after="200"/>
      <w:jc w:val="both"/>
    </w:pPr>
    <w:rPr>
      <w:b/>
      <w:bCs/>
      <w:sz w:val="18"/>
      <w:szCs w:val="18"/>
    </w:rPr>
  </w:style>
  <w:style w:type="paragraph" w:customStyle="1" w:styleId="Affiliation">
    <w:name w:val="Affiliation"/>
    <w:rsid w:val="00BE0FB0"/>
    <w:pPr>
      <w:jc w:val="center"/>
    </w:pPr>
  </w:style>
  <w:style w:type="paragraph" w:customStyle="1" w:styleId="Author">
    <w:name w:val="Author"/>
    <w:rsid w:val="00BE0FB0"/>
    <w:pPr>
      <w:spacing w:before="360" w:after="40"/>
      <w:jc w:val="center"/>
    </w:pPr>
    <w:rPr>
      <w:noProof/>
      <w:sz w:val="22"/>
      <w:szCs w:val="22"/>
    </w:rPr>
  </w:style>
  <w:style w:type="paragraph" w:styleId="BodyText">
    <w:name w:val="Body Text"/>
    <w:basedOn w:val="Normal"/>
    <w:rsid w:val="00BE0FB0"/>
    <w:pPr>
      <w:spacing w:after="120" w:line="228" w:lineRule="auto"/>
      <w:ind w:firstLine="288"/>
      <w:jc w:val="both"/>
    </w:pPr>
    <w:rPr>
      <w:spacing w:val="-1"/>
    </w:rPr>
  </w:style>
  <w:style w:type="paragraph" w:customStyle="1" w:styleId="bulletlist">
    <w:name w:val="bullet list"/>
    <w:basedOn w:val="BodyText"/>
    <w:rsid w:val="00BE0FB0"/>
    <w:pPr>
      <w:numPr>
        <w:numId w:val="1"/>
      </w:numPr>
      <w:tabs>
        <w:tab w:val="clear" w:pos="360"/>
        <w:tab w:val="num" w:pos="648"/>
      </w:tabs>
      <w:ind w:left="648"/>
    </w:pPr>
  </w:style>
  <w:style w:type="paragraph" w:customStyle="1" w:styleId="equation">
    <w:name w:val="equation"/>
    <w:basedOn w:val="Normal"/>
    <w:rsid w:val="00BE0FB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BE0FB0"/>
    <w:pPr>
      <w:framePr w:hSpace="187" w:vSpace="187" w:wrap="notBeside" w:vAnchor="text" w:hAnchor="page" w:x="6121" w:y="577"/>
      <w:numPr>
        <w:numId w:val="3"/>
      </w:numPr>
      <w:spacing w:after="40"/>
    </w:pPr>
    <w:rPr>
      <w:sz w:val="16"/>
      <w:szCs w:val="16"/>
    </w:rPr>
  </w:style>
  <w:style w:type="paragraph" w:customStyle="1" w:styleId="keywords">
    <w:name w:val="key words"/>
    <w:rsid w:val="00BE0FB0"/>
    <w:pPr>
      <w:spacing w:after="120"/>
      <w:ind w:firstLine="288"/>
      <w:jc w:val="both"/>
    </w:pPr>
    <w:rPr>
      <w:b/>
      <w:bCs/>
      <w:i/>
      <w:iCs/>
      <w:noProof/>
      <w:sz w:val="18"/>
      <w:szCs w:val="18"/>
    </w:rPr>
  </w:style>
  <w:style w:type="paragraph" w:customStyle="1" w:styleId="papersubtitle">
    <w:name w:val="paper subtitle"/>
    <w:rsid w:val="00BE0FB0"/>
    <w:pPr>
      <w:spacing w:after="120"/>
      <w:jc w:val="center"/>
    </w:pPr>
    <w:rPr>
      <w:rFonts w:eastAsia="MS Mincho"/>
      <w:noProof/>
      <w:sz w:val="28"/>
      <w:szCs w:val="28"/>
    </w:rPr>
  </w:style>
  <w:style w:type="paragraph" w:customStyle="1" w:styleId="papertitle">
    <w:name w:val="paper title"/>
    <w:rsid w:val="00BE0FB0"/>
    <w:pPr>
      <w:spacing w:after="120"/>
      <w:jc w:val="center"/>
    </w:pPr>
    <w:rPr>
      <w:rFonts w:eastAsia="MS Mincho"/>
      <w:noProof/>
      <w:sz w:val="48"/>
      <w:szCs w:val="48"/>
    </w:rPr>
  </w:style>
  <w:style w:type="paragraph" w:customStyle="1" w:styleId="references">
    <w:name w:val="references"/>
    <w:rsid w:val="00BE0FB0"/>
    <w:pPr>
      <w:numPr>
        <w:numId w:val="8"/>
      </w:numPr>
      <w:spacing w:after="50" w:line="180" w:lineRule="exact"/>
      <w:jc w:val="both"/>
    </w:pPr>
    <w:rPr>
      <w:rFonts w:eastAsia="MS Mincho"/>
      <w:noProof/>
      <w:sz w:val="16"/>
      <w:szCs w:val="16"/>
    </w:rPr>
  </w:style>
  <w:style w:type="paragraph" w:customStyle="1" w:styleId="sponsors">
    <w:name w:val="sponsors"/>
    <w:rsid w:val="00BE0FB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E0FB0"/>
    <w:rPr>
      <w:b/>
      <w:bCs/>
      <w:sz w:val="16"/>
      <w:szCs w:val="16"/>
    </w:rPr>
  </w:style>
  <w:style w:type="paragraph" w:customStyle="1" w:styleId="tablecolsubhead">
    <w:name w:val="table col subhead"/>
    <w:basedOn w:val="tablecolhead"/>
    <w:rsid w:val="00BE0FB0"/>
    <w:rPr>
      <w:i/>
      <w:iCs/>
      <w:sz w:val="15"/>
      <w:szCs w:val="15"/>
    </w:rPr>
  </w:style>
  <w:style w:type="paragraph" w:customStyle="1" w:styleId="tablecopy">
    <w:name w:val="table copy"/>
    <w:rsid w:val="00BE0FB0"/>
    <w:pPr>
      <w:jc w:val="both"/>
    </w:pPr>
    <w:rPr>
      <w:noProof/>
      <w:sz w:val="16"/>
      <w:szCs w:val="16"/>
    </w:rPr>
  </w:style>
  <w:style w:type="paragraph" w:customStyle="1" w:styleId="tablefootnote">
    <w:name w:val="table footnote"/>
    <w:rsid w:val="00BE0FB0"/>
    <w:pPr>
      <w:spacing w:before="60" w:after="30"/>
      <w:jc w:val="right"/>
    </w:pPr>
    <w:rPr>
      <w:sz w:val="12"/>
      <w:szCs w:val="12"/>
    </w:rPr>
  </w:style>
  <w:style w:type="paragraph" w:customStyle="1" w:styleId="tablehead">
    <w:name w:val="table head"/>
    <w:rsid w:val="00BE0FB0"/>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FIT">
    <w:name w:val="FIT本文"/>
    <w:link w:val="FIT0"/>
    <w:rsid w:val="000C7708"/>
    <w:pPr>
      <w:adjustRightInd w:val="0"/>
      <w:spacing w:line="240" w:lineRule="exact"/>
      <w:ind w:firstLine="180"/>
      <w:jc w:val="both"/>
      <w:textAlignment w:val="baseline"/>
    </w:pPr>
    <w:rPr>
      <w:rFonts w:eastAsia="MS Mincho"/>
      <w:sz w:val="18"/>
      <w:lang w:eastAsia="ja-JP"/>
    </w:rPr>
  </w:style>
  <w:style w:type="character" w:customStyle="1" w:styleId="FIT0">
    <w:name w:val="FIT本文 (文字)"/>
    <w:link w:val="FIT"/>
    <w:rsid w:val="000C7708"/>
    <w:rPr>
      <w:rFonts w:eastAsia="MS Mincho"/>
      <w:sz w:val="18"/>
      <w:lang w:val="en-US" w:eastAsia="ja-JP" w:bidi="ar-SA"/>
    </w:rPr>
  </w:style>
  <w:style w:type="table" w:styleId="TableGrid">
    <w:name w:val="Table Grid"/>
    <w:basedOn w:val="TableNormal"/>
    <w:uiPriority w:val="59"/>
    <w:rsid w:val="00F027C0"/>
    <w:pPr>
      <w:widowControl w:val="0"/>
      <w:tabs>
        <w:tab w:val="left" w:pos="513"/>
      </w:tabs>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D184D"/>
    <w:rPr>
      <w:rFonts w:ascii="Arial" w:eastAsia="MS Gothic" w:hAnsi="Arial"/>
      <w:sz w:val="16"/>
      <w:szCs w:val="16"/>
    </w:rPr>
  </w:style>
  <w:style w:type="character" w:styleId="Hyperlink">
    <w:name w:val="Hyperlink"/>
    <w:rsid w:val="00BC5969"/>
    <w:rPr>
      <w:color w:val="0000FF"/>
      <w:u w:val="single"/>
    </w:rPr>
  </w:style>
  <w:style w:type="paragraph" w:styleId="Header">
    <w:name w:val="header"/>
    <w:basedOn w:val="Normal"/>
    <w:link w:val="HeaderChar"/>
    <w:uiPriority w:val="99"/>
    <w:rsid w:val="00AD38A4"/>
    <w:pPr>
      <w:tabs>
        <w:tab w:val="center" w:pos="4680"/>
        <w:tab w:val="right" w:pos="9360"/>
      </w:tabs>
    </w:pPr>
  </w:style>
  <w:style w:type="character" w:customStyle="1" w:styleId="HeaderChar">
    <w:name w:val="Header Char"/>
    <w:basedOn w:val="DefaultParagraphFont"/>
    <w:link w:val="Header"/>
    <w:uiPriority w:val="99"/>
    <w:rsid w:val="00AD38A4"/>
  </w:style>
  <w:style w:type="paragraph" w:styleId="Footer">
    <w:name w:val="footer"/>
    <w:basedOn w:val="Normal"/>
    <w:link w:val="FooterChar"/>
    <w:uiPriority w:val="99"/>
    <w:rsid w:val="00AD38A4"/>
    <w:pPr>
      <w:tabs>
        <w:tab w:val="center" w:pos="4680"/>
        <w:tab w:val="right" w:pos="9360"/>
      </w:tabs>
    </w:pPr>
  </w:style>
  <w:style w:type="character" w:customStyle="1" w:styleId="FooterChar">
    <w:name w:val="Footer Char"/>
    <w:basedOn w:val="DefaultParagraphFont"/>
    <w:link w:val="Footer"/>
    <w:uiPriority w:val="99"/>
    <w:rsid w:val="00AD38A4"/>
  </w:style>
  <w:style w:type="paragraph" w:styleId="NoSpacing">
    <w:name w:val="No Spacing"/>
    <w:uiPriority w:val="1"/>
    <w:qFormat/>
    <w:rsid w:val="00AD38A4"/>
    <w:rPr>
      <w:rFonts w:ascii="Calibri" w:eastAsia="Calibri" w:hAnsi="Calibri" w:cs="Arial"/>
      <w:sz w:val="22"/>
      <w:szCs w:val="22"/>
    </w:rPr>
  </w:style>
  <w:style w:type="paragraph" w:styleId="Caption">
    <w:name w:val="caption"/>
    <w:basedOn w:val="Normal"/>
    <w:next w:val="Normal"/>
    <w:qFormat/>
    <w:rsid w:val="00B245BD"/>
    <w:pPr>
      <w:spacing w:after="80"/>
    </w:pPr>
    <w:rPr>
      <w:rFonts w:eastAsia="MS Mincho" w:cs="Miriam"/>
      <w:b/>
      <w:bCs/>
      <w:sz w:val="18"/>
      <w:szCs w:val="18"/>
      <w:lang w:eastAsia="en-AU"/>
    </w:rPr>
  </w:style>
  <w:style w:type="paragraph" w:customStyle="1" w:styleId="ISQEDtext">
    <w:name w:val="ISQED text"/>
    <w:basedOn w:val="Normal"/>
    <w:autoRedefine/>
    <w:rsid w:val="00815331"/>
    <w:pPr>
      <w:widowControl w:val="0"/>
      <w:adjustRightInd w:val="0"/>
      <w:spacing w:after="20" w:line="260" w:lineRule="atLeast"/>
      <w:jc w:val="both"/>
      <w:textAlignment w:val="baseline"/>
    </w:pPr>
    <w:rPr>
      <w:rFonts w:eastAsia="MS Mincho"/>
    </w:rPr>
  </w:style>
  <w:style w:type="paragraph" w:styleId="ListParagraph">
    <w:name w:val="List Paragraph"/>
    <w:basedOn w:val="Normal"/>
    <w:uiPriority w:val="34"/>
    <w:qFormat/>
    <w:rsid w:val="00F648EB"/>
    <w:pPr>
      <w:ind w:left="720"/>
    </w:pPr>
  </w:style>
  <w:style w:type="character" w:customStyle="1" w:styleId="WW-DefaultParagraphFont1">
    <w:name w:val="WW-Default Paragraph Font1"/>
    <w:rsid w:val="00446B89"/>
  </w:style>
  <w:style w:type="paragraph" w:customStyle="1" w:styleId="Body">
    <w:name w:val="Body"/>
    <w:uiPriority w:val="99"/>
    <w:rsid w:val="000D7809"/>
    <w:rPr>
      <w:rFonts w:ascii="Helvetica" w:eastAsia="Times New Roman" w:hAnsi="Helvetica"/>
      <w:noProof/>
      <w:color w:val="000000"/>
      <w:sz w:val="24"/>
      <w:lang w:val="en-GB" w:eastAsia="en-GB"/>
    </w:rPr>
  </w:style>
  <w:style w:type="character" w:customStyle="1" w:styleId="Heading1Char">
    <w:name w:val="Heading 1 Char"/>
    <w:basedOn w:val="DefaultParagraphFont"/>
    <w:link w:val="Heading1"/>
    <w:rsid w:val="00C23E4C"/>
    <w:rPr>
      <w:smallCaps/>
      <w:noProof/>
    </w:rPr>
  </w:style>
  <w:style w:type="character" w:customStyle="1" w:styleId="IEEEParagraphChar">
    <w:name w:val="IEEE Paragraph Char"/>
    <w:link w:val="IEEEParagraph"/>
    <w:locked/>
    <w:rsid w:val="009F4249"/>
    <w:rPr>
      <w:szCs w:val="24"/>
      <w:lang w:val="en-AU" w:eastAsia="zh-CN"/>
    </w:rPr>
  </w:style>
  <w:style w:type="paragraph" w:customStyle="1" w:styleId="IEEEParagraph">
    <w:name w:val="IEEE Paragraph"/>
    <w:basedOn w:val="Normal"/>
    <w:link w:val="IEEEParagraphChar"/>
    <w:rsid w:val="009F4249"/>
    <w:pPr>
      <w:adjustRightInd w:val="0"/>
      <w:snapToGrid w:val="0"/>
      <w:ind w:firstLine="216"/>
      <w:jc w:val="both"/>
    </w:pPr>
    <w:rPr>
      <w:szCs w:val="24"/>
      <w:lang w:val="en-AU" w:eastAsia="zh-CN"/>
    </w:rPr>
  </w:style>
  <w:style w:type="paragraph" w:customStyle="1" w:styleId="IJASEITAbtract">
    <w:name w:val="IJASEIT Abtract"/>
    <w:basedOn w:val="Normal"/>
    <w:next w:val="Normal"/>
    <w:link w:val="IJASEITAbtractChar"/>
    <w:rsid w:val="00451583"/>
    <w:pPr>
      <w:adjustRightInd w:val="0"/>
      <w:snapToGrid w:val="0"/>
      <w:jc w:val="both"/>
    </w:pPr>
    <w:rPr>
      <w:b/>
      <w:sz w:val="18"/>
      <w:szCs w:val="24"/>
      <w:lang w:val="en-GB" w:eastAsia="en-GB"/>
    </w:rPr>
  </w:style>
  <w:style w:type="character" w:customStyle="1" w:styleId="IJASEITAbtractChar">
    <w:name w:val="IJASEIT Abtract Char"/>
    <w:link w:val="IJASEITAbtract"/>
    <w:rsid w:val="00451583"/>
    <w:rPr>
      <w:b/>
      <w:sz w:val="18"/>
      <w:szCs w:val="24"/>
      <w:lang w:val="en-GB" w:eastAsia="en-GB"/>
    </w:rPr>
  </w:style>
  <w:style w:type="character" w:styleId="Strong">
    <w:name w:val="Strong"/>
    <w:basedOn w:val="DefaultParagraphFont"/>
    <w:uiPriority w:val="22"/>
    <w:qFormat/>
    <w:rsid w:val="005B55D6"/>
    <w:rPr>
      <w:b/>
      <w:bCs/>
    </w:rPr>
  </w:style>
  <w:style w:type="paragraph" w:customStyle="1" w:styleId="bullets">
    <w:name w:val="bullets"/>
    <w:basedOn w:val="Normal"/>
    <w:qFormat/>
    <w:rsid w:val="004C6F21"/>
    <w:pPr>
      <w:autoSpaceDE w:val="0"/>
      <w:autoSpaceDN w:val="0"/>
      <w:adjustRightInd w:val="0"/>
      <w:jc w:val="both"/>
    </w:pPr>
    <w:rPr>
      <w:rFonts w:ascii="Times-Roman" w:eastAsia="Times New Roman" w:hAnsi="Times-Roman" w:cs="Times-Roman"/>
    </w:rPr>
  </w:style>
  <w:style w:type="paragraph" w:customStyle="1" w:styleId="Headng1">
    <w:name w:val="Headng 1"/>
    <w:basedOn w:val="Normal"/>
    <w:qFormat/>
    <w:rsid w:val="00105B89"/>
    <w:pPr>
      <w:autoSpaceDE w:val="0"/>
      <w:autoSpaceDN w:val="0"/>
      <w:adjustRightInd w:val="0"/>
      <w:jc w:val="both"/>
    </w:pPr>
    <w:rPr>
      <w:b/>
    </w:rPr>
  </w:style>
  <w:style w:type="paragraph" w:styleId="DocumentMap">
    <w:name w:val="Document Map"/>
    <w:basedOn w:val="Normal"/>
    <w:link w:val="DocumentMapChar"/>
    <w:rsid w:val="002532D8"/>
    <w:rPr>
      <w:rFonts w:ascii="Tahoma" w:hAnsi="Tahoma" w:cs="Tahoma"/>
      <w:sz w:val="16"/>
      <w:szCs w:val="16"/>
    </w:rPr>
  </w:style>
  <w:style w:type="character" w:customStyle="1" w:styleId="DocumentMapChar">
    <w:name w:val="Document Map Char"/>
    <w:basedOn w:val="DefaultParagraphFont"/>
    <w:link w:val="DocumentMap"/>
    <w:rsid w:val="00253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43187">
      <w:bodyDiv w:val="1"/>
      <w:marLeft w:val="0"/>
      <w:marRight w:val="0"/>
      <w:marTop w:val="0"/>
      <w:marBottom w:val="0"/>
      <w:divBdr>
        <w:top w:val="none" w:sz="0" w:space="0" w:color="auto"/>
        <w:left w:val="none" w:sz="0" w:space="0" w:color="auto"/>
        <w:bottom w:val="none" w:sz="0" w:space="0" w:color="auto"/>
        <w:right w:val="none" w:sz="0" w:space="0" w:color="auto"/>
      </w:divBdr>
    </w:div>
    <w:div w:id="386729715">
      <w:bodyDiv w:val="1"/>
      <w:marLeft w:val="0"/>
      <w:marRight w:val="0"/>
      <w:marTop w:val="0"/>
      <w:marBottom w:val="0"/>
      <w:divBdr>
        <w:top w:val="none" w:sz="0" w:space="0" w:color="auto"/>
        <w:left w:val="none" w:sz="0" w:space="0" w:color="auto"/>
        <w:bottom w:val="none" w:sz="0" w:space="0" w:color="auto"/>
        <w:right w:val="none" w:sz="0" w:space="0" w:color="auto"/>
      </w:divBdr>
    </w:div>
    <w:div w:id="1534076427">
      <w:bodyDiv w:val="1"/>
      <w:marLeft w:val="0"/>
      <w:marRight w:val="0"/>
      <w:marTop w:val="0"/>
      <w:marBottom w:val="0"/>
      <w:divBdr>
        <w:top w:val="none" w:sz="0" w:space="0" w:color="auto"/>
        <w:left w:val="none" w:sz="0" w:space="0" w:color="auto"/>
        <w:bottom w:val="none" w:sz="0" w:space="0" w:color="auto"/>
        <w:right w:val="none" w:sz="0" w:space="0" w:color="auto"/>
      </w:divBdr>
    </w:div>
    <w:div w:id="1958679727">
      <w:bodyDiv w:val="1"/>
      <w:marLeft w:val="0"/>
      <w:marRight w:val="0"/>
      <w:marTop w:val="0"/>
      <w:marBottom w:val="0"/>
      <w:divBdr>
        <w:top w:val="none" w:sz="0" w:space="0" w:color="auto"/>
        <w:left w:val="none" w:sz="0" w:space="0" w:color="auto"/>
        <w:bottom w:val="none" w:sz="0" w:space="0" w:color="auto"/>
        <w:right w:val="none" w:sz="0" w:space="0" w:color="auto"/>
      </w:divBdr>
    </w:div>
    <w:div w:id="197984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s>
</file>

<file path=word/_rels/footer3.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B8E3F49B44F448776B0E4F798985D" ma:contentTypeVersion="1" ma:contentTypeDescription="Create a new document." ma:contentTypeScope="" ma:versionID="869b7b8994d10f1131b5ca8845abee89">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4CA94C-A754-48B1-A476-B23E3F783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1C1FD-9652-498A-AEA9-54525CEB6B66}">
  <ds:schemaRefs>
    <ds:schemaRef ds:uri="http://schemas.openxmlformats.org/officeDocument/2006/bibliography"/>
  </ds:schemaRefs>
</ds:datastoreItem>
</file>

<file path=customXml/itemProps3.xml><?xml version="1.0" encoding="utf-8"?>
<ds:datastoreItem xmlns:ds="http://schemas.openxmlformats.org/officeDocument/2006/customXml" ds:itemID="{C3D5AC11-2A68-4CC6-9034-492FD4ABAE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24628</Words>
  <Characters>140385</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M-based Filter Design</vt:lpstr>
    </vt:vector>
  </TitlesOfParts>
  <LinksUpToDate>false</LinksUpToDate>
  <CharactersWithSpaces>164684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M-based Filter Design</dc:title>
  <dc:creator/>
  <cp:lastModifiedBy/>
  <cp:revision>1</cp:revision>
  <cp:lastPrinted>2012-10-22T13:00:00Z</cp:lastPrinted>
  <dcterms:created xsi:type="dcterms:W3CDTF">2014-05-15T06:27:00Z</dcterms:created>
  <dcterms:modified xsi:type="dcterms:W3CDTF">2025-03-04T16:37:00Z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0x01010002DB8E3F49B44F448776B0E4F798985D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004976cf-2327-3d3f-a8c9-f649232bd980</vt:lpwstr>
  </property>
  <property fmtid="{D5CDD505-2E9C-101B-9397-08002B2CF9AE}" pid="25" name="Mendeley Citation Style_1">
    <vt:lpwstr>http://www.zotero.org/styles/ieee</vt:lpwstr>
  </property>
</Properties>
</file>