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5E723" w14:textId="4C2220A3" w:rsidR="008D7F9E" w:rsidRDefault="00000000" w:rsidP="00F445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14:ligatures w14:val="none"/>
        </w:rPr>
        <w:t>ALIFIYA PAREKH, MTech, RAC (Devices), RCC-MDR</w:t>
      </w:r>
      <w:r>
        <w:rPr>
          <w:rFonts w:ascii="Arial" w:eastAsia="Times New Roman" w:hAnsi="Arial" w:cs="Arial"/>
          <w:color w:val="222222"/>
          <w14:ligatures w14:val="none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San Francisco Bay Area, CA | (408) 702-5207 | </w:t>
      </w:r>
      <w:hyperlink r:id="rId8" w:tgtFrame="_blank" w:history="1">
        <w:r w:rsidR="008D7F9E">
          <w:rPr>
            <w:rFonts w:ascii="Arial" w:eastAsia="Times New Roman" w:hAnsi="Arial" w:cs="Arial"/>
            <w:color w:val="1155CC"/>
            <w:sz w:val="20"/>
            <w:szCs w:val="20"/>
            <w:u w:val="single"/>
            <w14:ligatures w14:val="none"/>
          </w:rPr>
          <w:t>parekhalifiya@gmail.com</w:t>
        </w:r>
      </w:hyperlink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 </w:t>
      </w:r>
    </w:p>
    <w:p w14:paraId="63044011" w14:textId="5DA4C380" w:rsidR="00F445EC" w:rsidRDefault="00000000">
      <w:pPr>
        <w:shd w:val="clear" w:color="auto" w:fill="FFFFFF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14:ligatures w14:val="none"/>
        </w:rPr>
        <w:t>SUMMARY</w:t>
      </w:r>
    </w:p>
    <w:p w14:paraId="5DFB5659" w14:textId="71826B43" w:rsidR="008D7F9E" w:rsidRPr="00F445EC" w:rsidRDefault="00000000" w:rsidP="00F445EC">
      <w:pPr>
        <w:shd w:val="clear" w:color="auto" w:fill="FFFFFF"/>
        <w:spacing w:before="100" w:beforeAutospacing="1" w:after="100" w:afterAutospacing="1" w:line="240" w:lineRule="auto"/>
        <w:ind w:left="-720" w:right="-720"/>
        <w:jc w:val="both"/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</w:pPr>
      <w:r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Results-driven </w:t>
      </w:r>
      <w:r w:rsidR="00DC03D8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Quality </w:t>
      </w:r>
      <w:r w:rsidR="00DC03D8"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>Regulatory</w:t>
      </w:r>
      <w:r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 Specialist with </w:t>
      </w:r>
      <w:r w:rsidR="00C74364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>5</w:t>
      </w:r>
      <w:r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.5+ years of </w:t>
      </w:r>
      <w:r w:rsidR="0078746E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professional </w:t>
      </w:r>
      <w:r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>experience in FDA/EU submissions (510(k), MDR), technical documentation, and quality compliance for Class II/III medical devices, SaMD, and diagnostics</w:t>
      </w:r>
      <w:r w:rsidR="00D87FF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 as well as R&amp;D and technical documentation in Biotech industry</w:t>
      </w:r>
      <w:r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. Proven track record in authoring GSPR, CERs, </w:t>
      </w:r>
      <w:r w:rsidR="00F445EC"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>PMS, risk</w:t>
      </w:r>
      <w:r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 management files and</w:t>
      </w:r>
      <w:r w:rsidR="003E36A0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 IFU,</w:t>
      </w:r>
      <w:r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 labeling review while ensuring adherence to ISO 13485, 21 CFR 820, and EU MDR/</w:t>
      </w:r>
      <w:r w:rsidR="00FD7F91"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IVDR. </w:t>
      </w:r>
      <w:r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Adept at </w:t>
      </w:r>
      <w:r w:rsidR="00DC03D8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>supporting</w:t>
      </w:r>
      <w:r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 regulatory strategy, gap analyses, and post-market surveillance to drive compliance and accelerate approvals. Strong technical writing, cross-functional collaboration, and </w:t>
      </w:r>
      <w:r w:rsidR="0078746E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>detail-oriented</w:t>
      </w:r>
      <w:r w:rsidRPr="00F445EC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 xml:space="preserve"> skills. RAC (UCSC) and RCC-MDR (RAPS) certified. Authorized to work in the U.S. without sponsorship</w:t>
      </w:r>
      <w:r w:rsidR="00EF1493">
        <w:rPr>
          <w:rFonts w:ascii="Arial" w:eastAsia="Times New Roman" w:hAnsi="Arial" w:cs="Arial"/>
          <w:color w:val="000000" w:themeColor="text1"/>
          <w:sz w:val="20"/>
          <w:szCs w:val="20"/>
          <w14:ligatures w14:val="none"/>
        </w:rPr>
        <w:t>.</w:t>
      </w:r>
    </w:p>
    <w:p w14:paraId="0E2C7DD6" w14:textId="77777777" w:rsidR="008D7F9E" w:rsidRPr="00F445EC" w:rsidRDefault="00000000" w:rsidP="00F445EC">
      <w:pPr>
        <w:shd w:val="clear" w:color="auto" w:fill="FFFFFF"/>
        <w:spacing w:before="100" w:beforeAutospacing="1" w:after="100" w:afterAutospacing="1" w:line="240" w:lineRule="auto"/>
        <w:ind w:left="-180" w:right="-720" w:hanging="540"/>
        <w:jc w:val="both"/>
        <w:rPr>
          <w:rFonts w:ascii="Arial" w:eastAsia="Times New Roman" w:hAnsi="Arial" w:cs="Arial"/>
          <w:color w:val="222222"/>
          <w:sz w:val="20"/>
          <w:szCs w:val="20"/>
          <w:u w:val="single"/>
          <w14:ligatures w14:val="none"/>
        </w:rPr>
      </w:pPr>
      <w:r w:rsidRPr="00F445E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14:ligatures w14:val="none"/>
        </w:rPr>
        <w:t>CORE COMPETENCIES</w:t>
      </w:r>
    </w:p>
    <w:p w14:paraId="5BE424A0" w14:textId="6367FE0E" w:rsidR="008D7F9E" w:rsidRDefault="000000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Regulatory Submissions and Technical Writing: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 </w:t>
      </w:r>
      <w:r>
        <w:rPr>
          <w:rFonts w:ascii="Arial" w:hAnsi="Arial" w:cs="Arial"/>
          <w:sz w:val="20"/>
          <w:szCs w:val="20"/>
        </w:rPr>
        <w:t>510(k), EU</w:t>
      </w:r>
      <w:r w:rsidR="00FD7F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MDR Technical documentation, GSPR, I</w:t>
      </w:r>
      <w:r w:rsidR="00F445EC">
        <w:rPr>
          <w:rFonts w:ascii="Arial" w:hAnsi="Arial" w:cs="Arial"/>
          <w:sz w:val="20"/>
          <w:szCs w:val="20"/>
        </w:rPr>
        <w:t xml:space="preserve">FU and </w:t>
      </w:r>
      <w:r w:rsidR="00D65D6F">
        <w:rPr>
          <w:rFonts w:ascii="Arial" w:hAnsi="Arial" w:cs="Arial"/>
          <w:sz w:val="20"/>
          <w:szCs w:val="20"/>
        </w:rPr>
        <w:t>labels, Clinical</w:t>
      </w:r>
      <w:r>
        <w:rPr>
          <w:rFonts w:ascii="Arial" w:hAnsi="Arial" w:cs="Arial"/>
          <w:sz w:val="20"/>
          <w:szCs w:val="20"/>
        </w:rPr>
        <w:t xml:space="preserve"> and post market surveillance, SOPs, Work Instructions, Change </w:t>
      </w:r>
      <w:r w:rsidR="00D87FFC">
        <w:rPr>
          <w:rFonts w:ascii="Arial" w:hAnsi="Arial" w:cs="Arial"/>
          <w:sz w:val="20"/>
          <w:szCs w:val="20"/>
        </w:rPr>
        <w:t>control</w:t>
      </w:r>
      <w:r>
        <w:rPr>
          <w:rFonts w:ascii="Arial" w:hAnsi="Arial" w:cs="Arial"/>
          <w:sz w:val="20"/>
          <w:szCs w:val="20"/>
        </w:rPr>
        <w:t>, CAPA, Deviation, Risk management, Design control file and Process validation plan</w:t>
      </w:r>
    </w:p>
    <w:p w14:paraId="62AF3CD6" w14:textId="18055F60" w:rsidR="008D7F9E" w:rsidRDefault="000000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Regulatory Frameworks &amp; Quality Standards: </w:t>
      </w:r>
      <w:r>
        <w:rPr>
          <w:rFonts w:ascii="Arial" w:hAnsi="Arial" w:cs="Arial"/>
          <w:sz w:val="20"/>
          <w:szCs w:val="20"/>
        </w:rPr>
        <w:t>EU MDR</w:t>
      </w:r>
      <w:r w:rsidR="00FD7F91">
        <w:rPr>
          <w:rFonts w:ascii="Arial" w:hAnsi="Arial" w:cs="Arial"/>
          <w:sz w:val="20"/>
          <w:szCs w:val="20"/>
        </w:rPr>
        <w:t xml:space="preserve"> 2017/745</w:t>
      </w:r>
      <w:r>
        <w:rPr>
          <w:rFonts w:ascii="Arial" w:hAnsi="Arial" w:cs="Arial"/>
          <w:sz w:val="20"/>
          <w:szCs w:val="20"/>
        </w:rPr>
        <w:t>, US FDA guidance documents, ISO 13485, 21CFR 820, 21CFR Part 11, ISO 14971, ISO 15223-1, ISO 20417, EU-IVDR, IMDRF, and other ISO/ IEC standards</w:t>
      </w:r>
    </w:p>
    <w:p w14:paraId="707A6AE5" w14:textId="0783F819" w:rsidR="008D7F9E" w:rsidRDefault="000000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Tools &amp; Databases: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 MS Office suite, Adobe Acrobat, Adobe express, Canva, Notion, Veeva, Smartsheet, SharePoint, SAP,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Virje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, JIRA,</w:t>
      </w:r>
      <w:r w:rsidR="00894DF2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Loom,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BSI Compliance Navigator, GUDID, EUDAMED, FDA database, e Star Forms, Nyquist AI, IQVIA database, e Lab notebooks, MDCG</w:t>
      </w:r>
    </w:p>
    <w:p w14:paraId="2363D7D1" w14:textId="77777777" w:rsidR="008D7F9E" w:rsidRDefault="000000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Languages: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 Fluent in English, Hindi, Gujarati, Basic proficiency in Urdu, Arabic, Sanskrit, Marathi</w:t>
      </w:r>
    </w:p>
    <w:p w14:paraId="3F1CC089" w14:textId="0B0BB7BA" w:rsidR="008D7F9E" w:rsidRDefault="00000000">
      <w:pPr>
        <w:shd w:val="clear" w:color="auto" w:fill="FFFFFF"/>
        <w:spacing w:before="100" w:beforeAutospacing="1" w:after="100" w:afterAutospacing="1" w:line="240" w:lineRule="auto"/>
        <w:ind w:left="-630" w:hanging="90"/>
        <w:rPr>
          <w:rFonts w:ascii="Arial" w:eastAsia="Times New Roman" w:hAnsi="Arial" w:cs="Arial"/>
          <w:color w:val="222222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14:ligatures w14:val="none"/>
        </w:rPr>
        <w:t>PROFESSIONAL EXPERIENCE</w:t>
      </w:r>
    </w:p>
    <w:p w14:paraId="606C71FB" w14:textId="56947CD0" w:rsidR="008D7F9E" w:rsidRPr="00F445EC" w:rsidRDefault="00000000" w:rsidP="00F445EC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 w:rsidRPr="00F445EC"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Regulatory Operations Specialist</w:t>
      </w:r>
      <w:r w:rsidRPr="00F445EC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br/>
        <w:t>Shockwave Medical</w:t>
      </w:r>
      <w:r w:rsidRPr="00F445EC">
        <w:rPr>
          <w:rFonts w:ascii="Arial" w:eastAsia="Times New Roman" w:hAnsi="Arial" w:cs="Arial"/>
          <w:i/>
          <w:iCs/>
          <w:color w:val="222222"/>
          <w:sz w:val="20"/>
          <w:szCs w:val="20"/>
          <w14:ligatures w14:val="none"/>
        </w:rPr>
        <w:t xml:space="preserve"> | </w:t>
      </w:r>
      <w:r w:rsidRPr="00F445EC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Santa Clara, CA, USA | July-Aug 2024</w:t>
      </w:r>
    </w:p>
    <w:p w14:paraId="3B5D91F6" w14:textId="216846AA" w:rsidR="008D7F9E" w:rsidRDefault="00000000" w:rsidP="00777A56">
      <w:pPr>
        <w:pStyle w:val="ListParagraph"/>
        <w:numPr>
          <w:ilvl w:val="0"/>
          <w:numId w:val="17"/>
        </w:numPr>
        <w:shd w:val="clear" w:color="auto" w:fill="FFFFFF"/>
        <w:tabs>
          <w:tab w:val="left" w:pos="8370"/>
          <w:tab w:val="left" w:pos="8550"/>
        </w:tabs>
        <w:spacing w:before="100" w:beforeAutospacing="1" w:after="100" w:afterAutospacing="1" w:line="240" w:lineRule="auto"/>
        <w:ind w:right="-810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Contributed to FDA/EU submissions; ensured document compliance and formatting resulting </w:t>
      </w:r>
      <w:r w:rsidR="00F445EC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in fully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compliant documentation</w:t>
      </w:r>
      <w:r w:rsidR="00012A7B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using Microsoft word and Adobe</w:t>
      </w:r>
      <w:r w:rsidR="00B517AE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Acrobat</w:t>
      </w:r>
    </w:p>
    <w:p w14:paraId="5D71F226" w14:textId="77A07C2E" w:rsidR="00FD7F91" w:rsidRDefault="00000000" w:rsidP="00777A56">
      <w:pPr>
        <w:pStyle w:val="ListParagraph"/>
        <w:numPr>
          <w:ilvl w:val="0"/>
          <w:numId w:val="17"/>
        </w:numPr>
        <w:shd w:val="clear" w:color="auto" w:fill="FFFFFF"/>
        <w:tabs>
          <w:tab w:val="left" w:pos="8370"/>
          <w:tab w:val="left" w:pos="8550"/>
        </w:tabs>
        <w:spacing w:before="100" w:beforeAutospacing="1" w:after="100" w:afterAutospacing="1" w:line="240" w:lineRule="auto"/>
        <w:ind w:right="-900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Conducted weekly regulatory intelligence updates and managed SharePoint revisions resulting in informed regulatory decisions for the entire team </w:t>
      </w:r>
    </w:p>
    <w:p w14:paraId="213FE5C5" w14:textId="3FE4C3EE" w:rsidR="00FD7F91" w:rsidRDefault="00000000" w:rsidP="00777A56">
      <w:pPr>
        <w:pStyle w:val="ListParagraph"/>
        <w:numPr>
          <w:ilvl w:val="0"/>
          <w:numId w:val="17"/>
        </w:numPr>
        <w:shd w:val="clear" w:color="auto" w:fill="FFFFFF"/>
        <w:tabs>
          <w:tab w:val="left" w:pos="8370"/>
          <w:tab w:val="left" w:pos="8550"/>
        </w:tabs>
        <w:spacing w:before="100" w:beforeAutospacing="1" w:after="100" w:afterAutospacing="1" w:line="240" w:lineRule="auto"/>
        <w:ind w:right="-900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 w:rsidRPr="00F445EC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Reviewed work instructions and flagged errors to be corrected </w:t>
      </w:r>
      <w:r w:rsidR="00FD7F91" w:rsidRPr="00FD7F91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to</w:t>
      </w:r>
      <w:r w:rsidRPr="00F445EC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ensure clarity and correctness</w:t>
      </w:r>
    </w:p>
    <w:p w14:paraId="0C89C56F" w14:textId="2EB36053" w:rsidR="008D7F9E" w:rsidRPr="003436D1" w:rsidRDefault="00106DC5" w:rsidP="003436D1">
      <w:pPr>
        <w:ind w:left="-630"/>
        <w:rPr>
          <w:rFonts w:ascii="Arial" w:hAnsi="Arial" w:cs="Arial"/>
          <w:sz w:val="20"/>
          <w:szCs w:val="20"/>
        </w:rPr>
      </w:pPr>
      <w:r w:rsidRPr="003436D1">
        <w:rPr>
          <w:rFonts w:ascii="Arial" w:hAnsi="Arial" w:cs="Arial"/>
          <w:b/>
          <w:bCs/>
          <w:sz w:val="20"/>
          <w:szCs w:val="20"/>
        </w:rPr>
        <w:t>Regulatory</w:t>
      </w:r>
      <w:r w:rsidR="003436D1" w:rsidRPr="003436D1">
        <w:rPr>
          <w:rFonts w:ascii="Arial" w:hAnsi="Arial" w:cs="Arial"/>
          <w:b/>
          <w:bCs/>
          <w:sz w:val="20"/>
          <w:szCs w:val="20"/>
        </w:rPr>
        <w:t xml:space="preserve"> </w:t>
      </w:r>
      <w:r w:rsidRPr="003436D1">
        <w:rPr>
          <w:rFonts w:ascii="Arial" w:hAnsi="Arial" w:cs="Arial"/>
          <w:b/>
          <w:bCs/>
          <w:sz w:val="20"/>
          <w:szCs w:val="20"/>
        </w:rPr>
        <w:t>Consultant</w:t>
      </w:r>
      <w:r w:rsidR="00F445EC" w:rsidRPr="003436D1">
        <w:rPr>
          <w:rFonts w:ascii="Arial" w:hAnsi="Arial" w:cs="Arial"/>
          <w:sz w:val="20"/>
          <w:szCs w:val="20"/>
        </w:rPr>
        <w:br/>
        <w:t xml:space="preserve">Antrix Inc. | Sunnyvale, CA, USA | May-July 2024 </w:t>
      </w:r>
    </w:p>
    <w:p w14:paraId="1C67FC3B" w14:textId="080B4FE7" w:rsidR="008D7F9E" w:rsidRDefault="00000000">
      <w:pPr>
        <w:pStyle w:val="ListParagraph"/>
        <w:numPr>
          <w:ilvl w:val="0"/>
          <w:numId w:val="14"/>
        </w:numPr>
        <w:shd w:val="clear" w:color="auto" w:fill="FFFFFF"/>
        <w:tabs>
          <w:tab w:val="left" w:pos="2880"/>
          <w:tab w:val="left" w:pos="3060"/>
          <w:tab w:val="left" w:pos="3690"/>
          <w:tab w:val="left" w:pos="6660"/>
          <w:tab w:val="left" w:pos="9180"/>
        </w:tabs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Built a regulatory intelligence database covering </w:t>
      </w:r>
      <w:r w:rsidR="00587628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eight </w:t>
      </w:r>
      <w:r w:rsidR="00FD7F91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diagnostic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categories resulting in faster preparation of submission dossier</w:t>
      </w:r>
    </w:p>
    <w:p w14:paraId="5C443328" w14:textId="1D5BBD8E" w:rsidR="008D7F9E" w:rsidRDefault="000000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Synthesized 40+ regulatory</w:t>
      </w:r>
      <w:r w:rsidR="00587628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and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testing requirements from FDA, EU, and CLSI sources</w:t>
      </w:r>
    </w:p>
    <w:p w14:paraId="3F6B6990" w14:textId="77777777" w:rsidR="008D7F9E" w:rsidRDefault="000000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Standardized QSR training materials to ensure quality and accuracy</w:t>
      </w:r>
    </w:p>
    <w:p w14:paraId="16BD7F99" w14:textId="77777777" w:rsidR="008D7F9E" w:rsidRDefault="00000000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Senior Engineer – Quality &amp; Regulatory Affairs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br/>
        <w:t>Tata Elxsi (Client: Zimmer Biomet) | Pune, India | July 2020–Apr 2021</w:t>
      </w:r>
    </w:p>
    <w:p w14:paraId="7ED4D297" w14:textId="6D844AFC" w:rsidR="008D7F9E" w:rsidRDefault="0000000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Developed EU MDR-compliant technical document</w:t>
      </w:r>
      <w:r w:rsidR="004013F4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ation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for Class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IIa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, IIb, III devices, </w:t>
      </w:r>
      <w:r w:rsidR="00FD7F91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including SaMD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(imaging software)</w:t>
      </w:r>
    </w:p>
    <w:p w14:paraId="459FEC08" w14:textId="736D4264" w:rsidR="008D7F9E" w:rsidRDefault="0000000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Collaborated with team to create gap analyses between EU MDD and EU MDR requirement</w:t>
      </w:r>
    </w:p>
    <w:p w14:paraId="17628750" w14:textId="77777777" w:rsidR="00F445EC" w:rsidRDefault="00000000" w:rsidP="00F445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hAnsi="Arial" w:cs="Arial"/>
          <w:sz w:val="20"/>
          <w:szCs w:val="20"/>
        </w:rPr>
        <w:t>Redlined Instructions for use (IFUs) and labels as per ISO standards</w:t>
      </w:r>
    </w:p>
    <w:p w14:paraId="3E2D9D88" w14:textId="4D56D627" w:rsidR="008D7F9E" w:rsidRPr="00F445EC" w:rsidRDefault="00000000" w:rsidP="00F445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 w:rsidRPr="00F445EC">
        <w:rPr>
          <w:rFonts w:ascii="Arial" w:hAnsi="Arial" w:cs="Arial"/>
          <w:sz w:val="20"/>
          <w:szCs w:val="20"/>
        </w:rPr>
        <w:lastRenderedPageBreak/>
        <w:t xml:space="preserve">Authored multiple General Safety &amp;Performance Requirements (GSPR), Clinical evaluation Plan (CEP), Post Market Surveillance plan (PMS) and Periodic safety update Report (PSUR) </w:t>
      </w:r>
      <w:r w:rsidRPr="00F445EC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Trained junior team members on regulatory processes</w:t>
      </w:r>
    </w:p>
    <w:p w14:paraId="77012EBD" w14:textId="77777777" w:rsidR="008D7F9E" w:rsidRDefault="00000000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Senior Research Associate – Technical Documentation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br/>
        <w:t>USV Pvt Ltd | Mumbai, India | Jan 2019– Apr 2020</w:t>
      </w:r>
    </w:p>
    <w:p w14:paraId="036AFBAE" w14:textId="34A4A623" w:rsidR="008D7F9E" w:rsidRDefault="00000000" w:rsidP="00777A5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Authored and managed lab instrument SOPs, SAPs, CAPAs, and GMP compliance records</w:t>
      </w:r>
    </w:p>
    <w:p w14:paraId="3A45EECB" w14:textId="77777777" w:rsidR="008D7F9E" w:rsidRDefault="00000000" w:rsidP="00777A5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Conducted internal trainings, GMP audits, and coordinated lab maintenance with engineers</w:t>
      </w:r>
    </w:p>
    <w:p w14:paraId="27E6BE82" w14:textId="5BDA411F" w:rsidR="008D7F9E" w:rsidRDefault="00000000" w:rsidP="00777A5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Provided streamlined project documentation by creating custom Excel trackers</w:t>
      </w:r>
    </w:p>
    <w:p w14:paraId="5A27561E" w14:textId="77777777" w:rsidR="008D7F9E" w:rsidRDefault="008D7F9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</w:p>
    <w:p w14:paraId="321FB562" w14:textId="77777777" w:rsidR="008D7F9E" w:rsidRDefault="00000000">
      <w:pPr>
        <w:pStyle w:val="ListParagraph"/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 xml:space="preserve">Sr. Scientific assistant and Sr. Executive– R&amp;D 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br/>
        <w:t>INTAS Biopharma &amp; Zydus Cadila | Ahmedabad, India | Aug 2015–May 2018</w:t>
      </w:r>
    </w:p>
    <w:p w14:paraId="057E4D71" w14:textId="77777777" w:rsidR="008D7F9E" w:rsidRDefault="008D7F9E">
      <w:pPr>
        <w:pStyle w:val="ListParagraph"/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i/>
          <w:iCs/>
          <w:color w:val="222222"/>
          <w:sz w:val="20"/>
          <w:szCs w:val="20"/>
          <w14:ligatures w14:val="none"/>
        </w:rPr>
      </w:pPr>
    </w:p>
    <w:p w14:paraId="596D9D8C" w14:textId="77777777" w:rsidR="008D7F9E" w:rsidRDefault="00000000" w:rsidP="00777A5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-63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Led analytical and method development for biosimilars using HPLC, IEF, SDS-PAGE, FTIR, CD, Spectro fluoroscope and ELISA techniques</w:t>
      </w:r>
    </w:p>
    <w:p w14:paraId="5D41F839" w14:textId="77777777" w:rsidR="008D7F9E" w:rsidRDefault="00000000" w:rsidP="00777A5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Established lab infrastructure and ensured lab documentation with 21 CFR Part 11 compliance</w:t>
      </w:r>
    </w:p>
    <w:p w14:paraId="46DC7FEB" w14:textId="77777777" w:rsidR="008D7F9E" w:rsidRDefault="00000000" w:rsidP="00777A5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Managed laboratory equipment’s qualification (IQ, OQ, PQ) and procurement workflows in SAP</w:t>
      </w:r>
    </w:p>
    <w:p w14:paraId="142432B7" w14:textId="77777777" w:rsidR="008D7F9E" w:rsidRDefault="008D7F9E" w:rsidP="00777A56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</w:p>
    <w:p w14:paraId="4BBA4FE0" w14:textId="77777777" w:rsidR="008D7F9E" w:rsidRPr="00FD7F91" w:rsidRDefault="00000000">
      <w:pPr>
        <w:pStyle w:val="ListParagraph"/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14:ligatures w14:val="none"/>
        </w:rPr>
        <w:t>KEY PROJECTS</w:t>
      </w:r>
      <w:r w:rsidRPr="00FD7F9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14:ligatures w14:val="none"/>
        </w:rPr>
        <w:t xml:space="preserve"> completed as part of RAC CERTIFICATE PROGRAM at UCSC, Silicon Valley, USA</w:t>
      </w:r>
    </w:p>
    <w:p w14:paraId="45972376" w14:textId="77777777" w:rsidR="008D7F9E" w:rsidRDefault="008D7F9E">
      <w:pPr>
        <w:pStyle w:val="ListParagraph"/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</w:pPr>
    </w:p>
    <w:p w14:paraId="52382C99" w14:textId="4B3B2E5A" w:rsidR="008D7F9E" w:rsidRDefault="00000000" w:rsidP="00054ABB">
      <w:pPr>
        <w:pStyle w:val="ListParagraph"/>
        <w:numPr>
          <w:ilvl w:val="0"/>
          <w:numId w:val="20"/>
        </w:numPr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ind w:right="-45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Authored 510(k) submissio</w:t>
      </w:r>
      <w:r w:rsidR="00EA5F4F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n</w:t>
      </w:r>
      <w:r w:rsidR="00C74364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, </w:t>
      </w:r>
      <w:r w:rsidR="00054ABB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technical documentation</w:t>
      </w:r>
      <w:r w:rsidR="00EB5B23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, C</w:t>
      </w:r>
      <w:r w:rsidR="00EA5F4F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EP, CER, PMS Plan and P</w:t>
      </w:r>
      <w:r w:rsidR="00EB5B23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MS report</w:t>
      </w:r>
      <w:r w:rsidR="00EA5F4F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, </w:t>
      </w:r>
      <w:r w:rsidR="00D81A46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and labels</w:t>
      </w:r>
      <w:r w:rsidR="00EA5F4F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for a flexible bronchoscope per EU-MDR</w:t>
      </w:r>
    </w:p>
    <w:p w14:paraId="1836FE6F" w14:textId="4C700530" w:rsidR="008D7F9E" w:rsidRPr="00D81A46" w:rsidRDefault="00000000" w:rsidP="00054ABB">
      <w:pPr>
        <w:pStyle w:val="ListParagraph"/>
        <w:numPr>
          <w:ilvl w:val="0"/>
          <w:numId w:val="20"/>
        </w:numPr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Developed regulatory strategy for U.S., EU, and Canadian markets</w:t>
      </w:r>
      <w:r w:rsidR="00EA5F4F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, design control file and process validation plan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for a digital </w:t>
      </w:r>
      <w:r w:rsidR="00D81A46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stethoscope</w:t>
      </w:r>
    </w:p>
    <w:p w14:paraId="10CB9D60" w14:textId="5E2B59B0" w:rsidR="008D7F9E" w:rsidRDefault="00000000" w:rsidP="00054ABB">
      <w:pPr>
        <w:pStyle w:val="ListParagraph"/>
        <w:numPr>
          <w:ilvl w:val="0"/>
          <w:numId w:val="20"/>
        </w:numPr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Authored FDA Warning letter related to design control deficiencies </w:t>
      </w:r>
      <w:r w:rsidR="00D81A46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for a medical device firm 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and authored Noncompliance findings for a</w:t>
      </w:r>
      <w:r w:rsidR="00D81A46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nother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medical device firm</w:t>
      </w:r>
    </w:p>
    <w:p w14:paraId="6E61366D" w14:textId="77777777" w:rsidR="008D7F9E" w:rsidRDefault="008D7F9E" w:rsidP="00054ABB">
      <w:pPr>
        <w:pStyle w:val="ListParagraph"/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</w:p>
    <w:p w14:paraId="2271E989" w14:textId="77777777" w:rsidR="008D7F9E" w:rsidRDefault="00000000" w:rsidP="00054ABB">
      <w:pPr>
        <w:pStyle w:val="ListParagraph"/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ind w:left="-630"/>
        <w:jc w:val="both"/>
        <w:rPr>
          <w:rFonts w:ascii="Arial" w:eastAsia="Times New Roman" w:hAnsi="Arial" w:cs="Arial"/>
          <w:color w:val="222222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14:ligatures w14:val="none"/>
        </w:rPr>
        <w:t>EDUCATION &amp; CERTIFICATIONS</w:t>
      </w:r>
    </w:p>
    <w:p w14:paraId="071902DE" w14:textId="4868424F" w:rsidR="008D7F9E" w:rsidRDefault="00000000" w:rsidP="00777A56">
      <w:pPr>
        <w:shd w:val="clear" w:color="auto" w:fill="FFFFFF"/>
        <w:tabs>
          <w:tab w:val="left" w:pos="8640"/>
          <w:tab w:val="left" w:pos="9180"/>
        </w:tabs>
        <w:spacing w:before="100" w:beforeAutospacing="1" w:after="100" w:afterAutospacing="1" w:line="240" w:lineRule="auto"/>
        <w:ind w:left="-630" w:right="-45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MTech, B</w:t>
      </w:r>
      <w:r w:rsidR="000E61E4"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iotechnology Engineering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| Vellore Institute of Technology | GPA: 8.51/10 </w:t>
      </w:r>
    </w:p>
    <w:p w14:paraId="658FA6CF" w14:textId="65ADC735" w:rsidR="008D7F9E" w:rsidRDefault="00000000" w:rsidP="00777A56">
      <w:pPr>
        <w:shd w:val="clear" w:color="auto" w:fill="FFFFFF"/>
        <w:tabs>
          <w:tab w:val="left" w:pos="8640"/>
          <w:tab w:val="left" w:pos="9180"/>
        </w:tabs>
        <w:spacing w:before="100" w:beforeAutospacing="1" w:after="100" w:afterAutospacing="1" w:line="240" w:lineRule="auto"/>
        <w:ind w:left="-63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 xml:space="preserve">B.E., </w:t>
      </w:r>
      <w:r w:rsidR="000E61E4"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Biotechnology Engineering</w:t>
      </w:r>
      <w:r w:rsidR="000E61E4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|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Gujarat Technological University | GPA: 7.73/10</w:t>
      </w:r>
    </w:p>
    <w:p w14:paraId="680CBF46" w14:textId="2FB26129" w:rsidR="00F445EC" w:rsidRDefault="00496F28" w:rsidP="00837C0C">
      <w:pPr>
        <w:shd w:val="clear" w:color="auto" w:fill="FFFFFF"/>
        <w:tabs>
          <w:tab w:val="left" w:pos="7110"/>
          <w:tab w:val="left" w:pos="7920"/>
          <w:tab w:val="left" w:pos="8370"/>
          <w:tab w:val="left" w:pos="8640"/>
          <w:tab w:val="left" w:pos="9360"/>
        </w:tabs>
        <w:spacing w:before="100" w:beforeAutospacing="1" w:after="100" w:afterAutospacing="1" w:line="240" w:lineRule="auto"/>
        <w:ind w:left="-630" w:right="-45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 xml:space="preserve">RAC - Regulatory Affairs </w:t>
      </w:r>
      <w:r w:rsidR="00777A56"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Certificate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| </w:t>
      </w:r>
      <w:r w:rsidRPr="007A59C2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University of California (UCSC) Silicon Valley, USA | 2</w:t>
      </w:r>
      <w:r w:rsidR="005A1BB5" w:rsidRPr="007A59C2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02</w:t>
      </w:r>
      <w:r w:rsidR="00777A56" w:rsidRPr="007A59C2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4 (9 months)</w:t>
      </w:r>
    </w:p>
    <w:p w14:paraId="24809283" w14:textId="41E80116" w:rsidR="008D7F9E" w:rsidRDefault="00000000" w:rsidP="00777A56">
      <w:pPr>
        <w:shd w:val="clear" w:color="auto" w:fill="FFFFFF"/>
        <w:tabs>
          <w:tab w:val="left" w:pos="7110"/>
          <w:tab w:val="left" w:pos="7920"/>
          <w:tab w:val="left" w:pos="8370"/>
          <w:tab w:val="left" w:pos="8640"/>
          <w:tab w:val="left" w:pos="9360"/>
        </w:tabs>
        <w:spacing w:before="100" w:beforeAutospacing="1" w:after="100" w:afterAutospacing="1" w:line="240" w:lineRule="auto"/>
        <w:ind w:left="-630" w:right="-18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RCC</w:t>
      </w:r>
      <w:r w:rsidR="00496F28"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-</w:t>
      </w:r>
      <w:r w:rsidR="00496F28"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 xml:space="preserve">MDR Certification 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| </w:t>
      </w:r>
      <w:r w:rsidRPr="007A59C2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Regulatory Affairs Professional Society (RAPS), USA | 2025</w:t>
      </w:r>
    </w:p>
    <w:p w14:paraId="7381679B" w14:textId="77777777" w:rsidR="008D7F9E" w:rsidRDefault="00000000">
      <w:pPr>
        <w:shd w:val="clear" w:color="auto" w:fill="FFFFFF"/>
        <w:spacing w:before="100" w:beforeAutospacing="1" w:after="100" w:afterAutospacing="1" w:line="240" w:lineRule="auto"/>
        <w:ind w:left="-630"/>
        <w:rPr>
          <w:rFonts w:ascii="Arial" w:eastAsia="Times New Roman" w:hAnsi="Arial" w:cs="Arial"/>
          <w:color w:val="222222"/>
          <w:sz w:val="20"/>
          <w:szCs w:val="20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14:ligatures w14:val="none"/>
        </w:rPr>
        <w:t>PROFESSIONAL AFFILIATIONS &amp; VOLUNTEERING</w:t>
      </w:r>
    </w:p>
    <w:p w14:paraId="67A1E5C1" w14:textId="79EF4543" w:rsidR="008D7F9E" w:rsidRDefault="00000000" w:rsidP="00A04125">
      <w:pPr>
        <w:shd w:val="clear" w:color="auto" w:fill="FFFFFF"/>
        <w:tabs>
          <w:tab w:val="left" w:pos="7920"/>
        </w:tabs>
        <w:spacing w:before="100" w:beforeAutospacing="1" w:after="100" w:afterAutospacing="1" w:line="240" w:lineRule="auto"/>
        <w:ind w:left="-630" w:right="-630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 xml:space="preserve">Regulatory Project Management (Sessions’ designer, Technical Presenter, Coordinator, Moderator, </w:t>
      </w:r>
      <w:r w:rsidR="00F445EC"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Mentor)</w:t>
      </w:r>
      <w:r w:rsidR="00F445EC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Global Remote Study Group | Mar-May 2025</w:t>
      </w:r>
    </w:p>
    <w:p w14:paraId="48F8160C" w14:textId="2859FF3B" w:rsidR="008D7F9E" w:rsidRDefault="00000000" w:rsidP="00777A56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right="-810" w:hanging="45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Designed and led a 7-session study group focused on US, EU and International medical device regulations with </w:t>
      </w:r>
      <w:r w:rsidR="00777A56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 xml:space="preserve">   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15+ active participants resulting in enhanced understanding of the medical device regulations for the participants.</w:t>
      </w:r>
    </w:p>
    <w:p w14:paraId="7072AAA4" w14:textId="77777777" w:rsidR="008D7F9E" w:rsidRDefault="00000000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450" w:right="-810" w:firstLine="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 w:rsidRPr="00F445EC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Developed and delivered technical content including agendas and quizzes; collaborated with 8+ SMEs</w:t>
      </w:r>
    </w:p>
    <w:p w14:paraId="7A093F13" w14:textId="77777777" w:rsidR="008D7F9E" w:rsidRPr="00F445EC" w:rsidRDefault="00000000" w:rsidP="00F445EC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-450" w:right="-810" w:firstLine="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 w:rsidRPr="00F445EC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Provided peer mentoring for transitioning professionals entering MedTech regulatory role</w:t>
      </w:r>
    </w:p>
    <w:p w14:paraId="16AD2180" w14:textId="77777777" w:rsidR="00C7150E" w:rsidRDefault="00000000" w:rsidP="00D81A46">
      <w:pPr>
        <w:shd w:val="clear" w:color="auto" w:fill="FFFFFF"/>
        <w:spacing w:after="0" w:line="240" w:lineRule="auto"/>
        <w:ind w:left="-72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 w:rsidRPr="00F445EC"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Panel Speaker</w:t>
      </w:r>
      <w:r w:rsidRPr="00F445EC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, RAPS SF Chapter, UCSF (Apr 2025): Shared career insights on transitioning into MedTech</w:t>
      </w:r>
    </w:p>
    <w:p w14:paraId="35B44765" w14:textId="77777777" w:rsidR="00D81A46" w:rsidRDefault="00000000" w:rsidP="00D81A46">
      <w:pPr>
        <w:shd w:val="clear" w:color="auto" w:fill="FFFFFF"/>
        <w:spacing w:after="0" w:line="240" w:lineRule="auto"/>
        <w:ind w:left="-72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>Volunteer</w:t>
      </w:r>
      <w:r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, RAPS SF Chapter (Dec 2024–Present): Member and event registration support</w:t>
      </w:r>
    </w:p>
    <w:p w14:paraId="23B2BF0A" w14:textId="05AC1528" w:rsidR="007A59C2" w:rsidRPr="00F445EC" w:rsidRDefault="007A59C2" w:rsidP="00D81A46">
      <w:pPr>
        <w:shd w:val="clear" w:color="auto" w:fill="FFFFFF"/>
        <w:spacing w:after="0" w:line="240" w:lineRule="auto"/>
        <w:ind w:left="-720"/>
        <w:jc w:val="both"/>
        <w:rPr>
          <w:rFonts w:ascii="Arial" w:eastAsia="Times New Roman" w:hAnsi="Arial" w:cs="Arial"/>
          <w:color w:val="222222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14:ligatures w14:val="none"/>
        </w:rPr>
        <w:t xml:space="preserve">Member, </w:t>
      </w:r>
      <w:r w:rsidRPr="007A59C2">
        <w:rPr>
          <w:rFonts w:ascii="Arial" w:eastAsia="Times New Roman" w:hAnsi="Arial" w:cs="Arial"/>
          <w:color w:val="222222"/>
          <w:sz w:val="20"/>
          <w:szCs w:val="20"/>
          <w14:ligatures w14:val="none"/>
        </w:rPr>
        <w:t>California Medical Instrumentation Association- Bay area Chapter</w:t>
      </w:r>
    </w:p>
    <w:sectPr w:rsidR="007A59C2" w:rsidRPr="00F445EC" w:rsidSect="003436D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1FE34" w14:textId="77777777" w:rsidR="00E10411" w:rsidRDefault="00E10411">
      <w:pPr>
        <w:spacing w:after="0" w:line="240" w:lineRule="auto"/>
      </w:pPr>
      <w:r>
        <w:separator/>
      </w:r>
    </w:p>
  </w:endnote>
  <w:endnote w:type="continuationSeparator" w:id="0">
    <w:p w14:paraId="6A0FE0CA" w14:textId="77777777" w:rsidR="00E10411" w:rsidRDefault="00E1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DA4FB" w14:textId="77777777" w:rsidR="00E10411" w:rsidRDefault="00E10411">
      <w:pPr>
        <w:spacing w:after="0" w:line="240" w:lineRule="auto"/>
      </w:pPr>
      <w:r>
        <w:separator/>
      </w:r>
    </w:p>
  </w:footnote>
  <w:footnote w:type="continuationSeparator" w:id="0">
    <w:p w14:paraId="3A4E3859" w14:textId="77777777" w:rsidR="00E10411" w:rsidRDefault="00E10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62F43"/>
    <w:multiLevelType w:val="multilevel"/>
    <w:tmpl w:val="AA2E447E"/>
    <w:lvl w:ilvl="0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148023AC"/>
    <w:multiLevelType w:val="multilevel"/>
    <w:tmpl w:val="8D4AE41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77056EA"/>
    <w:multiLevelType w:val="multilevel"/>
    <w:tmpl w:val="45309604"/>
    <w:lvl w:ilvl="0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183142FB"/>
    <w:multiLevelType w:val="multilevel"/>
    <w:tmpl w:val="D618197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0AC1C35"/>
    <w:multiLevelType w:val="multilevel"/>
    <w:tmpl w:val="9C28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476B9"/>
    <w:multiLevelType w:val="multilevel"/>
    <w:tmpl w:val="EBA6BDA6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EA65AFF"/>
    <w:multiLevelType w:val="multilevel"/>
    <w:tmpl w:val="51FEF29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41E2926"/>
    <w:multiLevelType w:val="multilevel"/>
    <w:tmpl w:val="A18A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33A53"/>
    <w:multiLevelType w:val="multilevel"/>
    <w:tmpl w:val="762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05CBE"/>
    <w:multiLevelType w:val="multilevel"/>
    <w:tmpl w:val="58D2C8B0"/>
    <w:lvl w:ilvl="0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4418224E"/>
    <w:multiLevelType w:val="multilevel"/>
    <w:tmpl w:val="64E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27AE8"/>
    <w:multiLevelType w:val="multilevel"/>
    <w:tmpl w:val="C582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B278C"/>
    <w:multiLevelType w:val="multilevel"/>
    <w:tmpl w:val="C75A4652"/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512E1FED"/>
    <w:multiLevelType w:val="multilevel"/>
    <w:tmpl w:val="1828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911CA"/>
    <w:multiLevelType w:val="multilevel"/>
    <w:tmpl w:val="513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206FF"/>
    <w:multiLevelType w:val="multilevel"/>
    <w:tmpl w:val="4DEA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D3D5E"/>
    <w:multiLevelType w:val="multilevel"/>
    <w:tmpl w:val="F33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874FF"/>
    <w:multiLevelType w:val="multilevel"/>
    <w:tmpl w:val="59044D7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2C14575"/>
    <w:multiLevelType w:val="multilevel"/>
    <w:tmpl w:val="9F10A60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50A0652"/>
    <w:multiLevelType w:val="multilevel"/>
    <w:tmpl w:val="3632A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1061A"/>
    <w:multiLevelType w:val="multilevel"/>
    <w:tmpl w:val="76D8BD14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C431A15"/>
    <w:multiLevelType w:val="multilevel"/>
    <w:tmpl w:val="8212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488919">
    <w:abstractNumId w:val="16"/>
  </w:num>
  <w:num w:numId="2" w16cid:durableId="677006724">
    <w:abstractNumId w:val="10"/>
  </w:num>
  <w:num w:numId="3" w16cid:durableId="1861357486">
    <w:abstractNumId w:val="21"/>
  </w:num>
  <w:num w:numId="4" w16cid:durableId="740910150">
    <w:abstractNumId w:val="11"/>
  </w:num>
  <w:num w:numId="5" w16cid:durableId="987594470">
    <w:abstractNumId w:val="15"/>
  </w:num>
  <w:num w:numId="6" w16cid:durableId="1534735107">
    <w:abstractNumId w:val="14"/>
  </w:num>
  <w:num w:numId="7" w16cid:durableId="456533068">
    <w:abstractNumId w:val="4"/>
  </w:num>
  <w:num w:numId="8" w16cid:durableId="257834940">
    <w:abstractNumId w:val="7"/>
  </w:num>
  <w:num w:numId="9" w16cid:durableId="1500971278">
    <w:abstractNumId w:val="13"/>
  </w:num>
  <w:num w:numId="10" w16cid:durableId="835222069">
    <w:abstractNumId w:val="1"/>
  </w:num>
  <w:num w:numId="11" w16cid:durableId="1115950755">
    <w:abstractNumId w:val="9"/>
  </w:num>
  <w:num w:numId="12" w16cid:durableId="1245917400">
    <w:abstractNumId w:val="12"/>
  </w:num>
  <w:num w:numId="13" w16cid:durableId="1292399025">
    <w:abstractNumId w:val="2"/>
  </w:num>
  <w:num w:numId="14" w16cid:durableId="489709379">
    <w:abstractNumId w:val="18"/>
  </w:num>
  <w:num w:numId="15" w16cid:durableId="1932228895">
    <w:abstractNumId w:val="6"/>
  </w:num>
  <w:num w:numId="16" w16cid:durableId="1486899274">
    <w:abstractNumId w:val="19"/>
  </w:num>
  <w:num w:numId="17" w16cid:durableId="1471437017">
    <w:abstractNumId w:val="3"/>
  </w:num>
  <w:num w:numId="18" w16cid:durableId="2146384941">
    <w:abstractNumId w:val="5"/>
  </w:num>
  <w:num w:numId="19" w16cid:durableId="897476451">
    <w:abstractNumId w:val="20"/>
  </w:num>
  <w:num w:numId="20" w16cid:durableId="2087653545">
    <w:abstractNumId w:val="17"/>
  </w:num>
  <w:num w:numId="21" w16cid:durableId="1708482680">
    <w:abstractNumId w:val="0"/>
  </w:num>
  <w:num w:numId="22" w16cid:durableId="2070302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9E"/>
    <w:rsid w:val="00012A7B"/>
    <w:rsid w:val="00054ABB"/>
    <w:rsid w:val="00084DBB"/>
    <w:rsid w:val="000E61E4"/>
    <w:rsid w:val="00106DC5"/>
    <w:rsid w:val="0014520F"/>
    <w:rsid w:val="002456B8"/>
    <w:rsid w:val="002C49C9"/>
    <w:rsid w:val="003436D1"/>
    <w:rsid w:val="003D3724"/>
    <w:rsid w:val="003E056C"/>
    <w:rsid w:val="003E36A0"/>
    <w:rsid w:val="004013F4"/>
    <w:rsid w:val="00496F28"/>
    <w:rsid w:val="005614F8"/>
    <w:rsid w:val="00575C02"/>
    <w:rsid w:val="00587628"/>
    <w:rsid w:val="005A1BB5"/>
    <w:rsid w:val="006B3150"/>
    <w:rsid w:val="006E7748"/>
    <w:rsid w:val="00777A56"/>
    <w:rsid w:val="0078746E"/>
    <w:rsid w:val="007A59C2"/>
    <w:rsid w:val="00837C0C"/>
    <w:rsid w:val="00894DF2"/>
    <w:rsid w:val="008D7F9E"/>
    <w:rsid w:val="00946A6C"/>
    <w:rsid w:val="00956C0C"/>
    <w:rsid w:val="00A04125"/>
    <w:rsid w:val="00B517AE"/>
    <w:rsid w:val="00B90011"/>
    <w:rsid w:val="00BF6139"/>
    <w:rsid w:val="00C7150E"/>
    <w:rsid w:val="00C74364"/>
    <w:rsid w:val="00D65D6F"/>
    <w:rsid w:val="00D81A46"/>
    <w:rsid w:val="00D87FFC"/>
    <w:rsid w:val="00DC03D8"/>
    <w:rsid w:val="00E10411"/>
    <w:rsid w:val="00EA5F4F"/>
    <w:rsid w:val="00EB5B23"/>
    <w:rsid w:val="00EE69BA"/>
    <w:rsid w:val="00EF1493"/>
    <w:rsid w:val="00F445EC"/>
    <w:rsid w:val="00FD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9579"/>
  <w15:docId w15:val="{D5984BAD-D33C-DB4C-A753-477E7262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ds-markdown-paragraph">
    <w:name w:val="ds-markdown-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ekhalifi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FAB13-A133-6947-8D09-B4296B0A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Alifiya Parekh</dc:creator>
  <cp:keywords/>
  <dc:description/>
  <cp:lastModifiedBy>Alifiya Parekh</cp:lastModifiedBy>
  <cp:revision>85</cp:revision>
  <dcterms:created xsi:type="dcterms:W3CDTF">2025-06-24T20:39:00Z</dcterms:created>
  <dcterms:modified xsi:type="dcterms:W3CDTF">2025-07-22T01:55:00Z</dcterms:modified>
</cp:coreProperties>
</file>