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56A3A"/>
          <w:sz w:val="18"/>
        </w:rPr>
        <w:t>SMART SURGICAL TEAM</w:t>
      </w:r>
    </w:p>
    <w:p>
      <w:pPr>
        <w:pStyle w:val="Title"/>
      </w:pPr>
      <w:r>
        <w:t>Product, UX, and Efficiency Enhancement Handoff</w:t>
      </w:r>
    </w:p>
    <w:p>
      <w:pPr>
        <w:pStyle w:val="Subtitle"/>
      </w:pPr>
      <w:r>
        <w:t>Accessibility, localization, performance, SEO, content operations, and product roadmap</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250"/>
        <w:gridCol w:w="3430"/>
        <w:gridCol w:w="1250"/>
        <w:gridCol w:w="3430"/>
      </w:tblGrid>
      <w:tr>
        <w:tc>
          <w:tcPr>
            <w:tcW w:type="dxa" w:w="1250"/>
            <w:shd w:fill="E7F1EF"/>
            <w:tcMar>
              <w:top w:w="80" w:type="dxa"/>
              <w:start w:w="120" w:type="dxa"/>
              <w:bottom w:w="80" w:type="dxa"/>
              <w:end w:w="120" w:type="dxa"/>
            </w:tcMar>
            <w:vAlign w:val="center"/>
          </w:tcPr>
          <w:p>
            <w:pPr>
              <w:pStyle w:val="TableText"/>
            </w:pPr>
            <w:r>
              <w:rPr>
                <w:b/>
                <w:color w:val="123F3D"/>
              </w:rPr>
              <w:t>Status</w:t>
            </w:r>
          </w:p>
        </w:tc>
        <w:tc>
          <w:tcPr>
            <w:tcW w:type="dxa" w:w="3430"/>
            <w:tcMar>
              <w:top w:w="80" w:type="dxa"/>
              <w:start w:w="120" w:type="dxa"/>
              <w:bottom w:w="80" w:type="dxa"/>
              <w:end w:w="120" w:type="dxa"/>
            </w:tcMar>
            <w:vAlign w:val="center"/>
          </w:tcPr>
          <w:p>
            <w:pPr>
              <w:pStyle w:val="TableText"/>
            </w:pPr>
            <w:r>
              <w:t>Read-only assessment</w:t>
            </w:r>
          </w:p>
        </w:tc>
        <w:tc>
          <w:tcPr>
            <w:tcW w:type="dxa" w:w="1250"/>
            <w:shd w:fill="E7F1EF"/>
            <w:tcMar>
              <w:top w:w="80" w:type="dxa"/>
              <w:start w:w="120" w:type="dxa"/>
              <w:bottom w:w="80" w:type="dxa"/>
              <w:end w:w="120" w:type="dxa"/>
            </w:tcMar>
            <w:vAlign w:val="center"/>
          </w:tcPr>
          <w:p>
            <w:pPr>
              <w:pStyle w:val="TableText"/>
            </w:pPr>
            <w:r>
              <w:rPr>
                <w:b/>
                <w:color w:val="123F3D"/>
              </w:rPr>
              <w:t>Reviewed</w:t>
            </w:r>
          </w:p>
        </w:tc>
        <w:tc>
          <w:tcPr>
            <w:tcW w:type="dxa" w:w="3430"/>
            <w:tcMar>
              <w:top w:w="80" w:type="dxa"/>
              <w:start w:w="120" w:type="dxa"/>
              <w:bottom w:w="80" w:type="dxa"/>
              <w:end w:w="120" w:type="dxa"/>
            </w:tcMar>
            <w:vAlign w:val="center"/>
          </w:tcPr>
          <w:p>
            <w:pPr>
              <w:pStyle w:val="TableText"/>
            </w:pPr>
            <w:r>
              <w:t>8 August 2026</w:t>
            </w:r>
          </w:p>
        </w:tc>
      </w:tr>
      <w:tr>
        <w:tc>
          <w:tcPr>
            <w:tcW w:type="dxa" w:w="1250"/>
            <w:shd w:fill="E7F1EF"/>
            <w:tcMar>
              <w:top w:w="80" w:type="dxa"/>
              <w:start w:w="120" w:type="dxa"/>
              <w:bottom w:w="80" w:type="dxa"/>
              <w:end w:w="120" w:type="dxa"/>
            </w:tcMar>
            <w:vAlign w:val="center"/>
          </w:tcPr>
          <w:p>
            <w:pPr>
              <w:pStyle w:val="TableText"/>
            </w:pPr>
            <w:r>
              <w:rPr>
                <w:b/>
                <w:color w:val="123F3D"/>
              </w:rPr>
              <w:t>Repository</w:t>
            </w:r>
          </w:p>
        </w:tc>
        <w:tc>
          <w:tcPr>
            <w:tcW w:type="dxa" w:w="3430"/>
            <w:tcMar>
              <w:top w:w="80" w:type="dxa"/>
              <w:start w:w="120" w:type="dxa"/>
              <w:bottom w:w="80" w:type="dxa"/>
              <w:end w:w="120" w:type="dxa"/>
            </w:tcMar>
            <w:vAlign w:val="center"/>
          </w:tcPr>
          <w:p>
            <w:pPr>
              <w:pStyle w:val="TableText"/>
            </w:pPr>
            <w:r>
              <w:t>f7ea7b2 (main)</w:t>
            </w:r>
          </w:p>
        </w:tc>
        <w:tc>
          <w:tcPr>
            <w:tcW w:type="dxa" w:w="1250"/>
            <w:shd w:fill="E7F1EF"/>
            <w:tcMar>
              <w:top w:w="80" w:type="dxa"/>
              <w:start w:w="120" w:type="dxa"/>
              <w:bottom w:w="80" w:type="dxa"/>
              <w:end w:w="120" w:type="dxa"/>
            </w:tcMar>
            <w:vAlign w:val="center"/>
          </w:tcPr>
          <w:p>
            <w:pPr>
              <w:pStyle w:val="TableText"/>
            </w:pPr>
            <w:r>
              <w:rPr>
                <w:b/>
                <w:color w:val="123F3D"/>
              </w:rPr>
              <w:t>Audience</w:t>
            </w:r>
          </w:p>
        </w:tc>
        <w:tc>
          <w:tcPr>
            <w:tcW w:type="dxa" w:w="3430"/>
            <w:tcMar>
              <w:top w:w="80" w:type="dxa"/>
              <w:start w:w="120" w:type="dxa"/>
              <w:bottom w:w="80" w:type="dxa"/>
              <w:end w:w="120" w:type="dxa"/>
            </w:tcMar>
            <w:vAlign w:val="center"/>
          </w:tcPr>
          <w:p>
            <w:pPr>
              <w:pStyle w:val="TableText"/>
            </w:pPr>
            <w:r>
              <w:t>Engineering, product, operations</w:t>
            </w:r>
          </w:p>
        </w:tc>
      </w:tr>
      <w:tr>
        <w:tc>
          <w:tcPr>
            <w:tcW w:type="dxa" w:w="1250"/>
            <w:shd w:fill="E7F1EF"/>
            <w:tcMar>
              <w:top w:w="80" w:type="dxa"/>
              <w:start w:w="120" w:type="dxa"/>
              <w:bottom w:w="80" w:type="dxa"/>
              <w:end w:w="120" w:type="dxa"/>
            </w:tcMar>
            <w:vAlign w:val="center"/>
          </w:tcPr>
          <w:p>
            <w:pPr>
              <w:pStyle w:val="TableText"/>
            </w:pPr>
            <w:r>
              <w:rPr>
                <w:b/>
                <w:color w:val="123F3D"/>
              </w:rPr>
              <w:t>Change policy</w:t>
            </w:r>
          </w:p>
        </w:tc>
        <w:tc>
          <w:tcPr>
            <w:tcW w:type="dxa" w:w="3430"/>
            <w:tcMar>
              <w:top w:w="80" w:type="dxa"/>
              <w:start w:w="120" w:type="dxa"/>
              <w:bottom w:w="80" w:type="dxa"/>
              <w:end w:w="120" w:type="dxa"/>
            </w:tcMar>
            <w:vAlign w:val="center"/>
          </w:tcPr>
          <w:p>
            <w:pPr>
              <w:pStyle w:val="TableText"/>
            </w:pPr>
            <w:r>
              <w:t>No application changes made</w:t>
            </w:r>
          </w:p>
        </w:tc>
        <w:tc>
          <w:tcPr>
            <w:tcW w:type="dxa" w:w="1250"/>
            <w:shd w:fill="E7F1EF"/>
            <w:tcMar>
              <w:top w:w="80" w:type="dxa"/>
              <w:start w:w="120" w:type="dxa"/>
              <w:bottom w:w="80" w:type="dxa"/>
              <w:end w:w="120" w:type="dxa"/>
            </w:tcMar>
            <w:vAlign w:val="center"/>
          </w:tcPr>
          <w:p>
            <w:pPr>
              <w:pStyle w:val="TableText"/>
            </w:pPr>
            <w:r>
              <w:rPr>
                <w:b/>
                <w:color w:val="123F3D"/>
              </w:rPr>
              <w:t>Confidence</w:t>
            </w:r>
          </w:p>
        </w:tc>
        <w:tc>
          <w:tcPr>
            <w:tcW w:type="dxa" w:w="3430"/>
            <w:tcMar>
              <w:top w:w="80" w:type="dxa"/>
              <w:start w:w="120" w:type="dxa"/>
              <w:bottom w:w="80" w:type="dxa"/>
              <w:end w:w="120" w:type="dxa"/>
            </w:tcMar>
            <w:vAlign w:val="center"/>
          </w:tcPr>
          <w:p>
            <w:pPr>
              <w:pStyle w:val="TableText"/>
            </w:pPr>
            <w:r>
              <w:t>Evidence-based; no destructive testing</w:t>
            </w:r>
          </w:p>
        </w:tc>
      </w:tr>
    </w:tbl>
    <w:p/>
    <w:tbl>
      <w:tblPr>
        <w:tblW w:type="dxa" w:w="9360"/>
        <w:jc w:val="center"/>
        <w:tblLayout w:type="fixed"/>
        <w:tblLook w:firstColumn="1" w:firstRow="1" w:lastColumn="0" w:lastRow="0" w:noHBand="0" w:noVBand="1" w:val="04A0"/>
        <w:tblInd w:w="0" w:type="dxa"/>
        <w:tblBorders>
          <w:top w:val="single" w:sz="4" w:space="0" w:color="E7F1EF"/>
          <w:left w:val="single" w:sz="4" w:space="0" w:color="E7F1EF"/>
          <w:bottom w:val="single" w:sz="4" w:space="0" w:color="E7F1EF"/>
          <w:right w:val="single" w:sz="4" w:space="0" w:color="E7F1EF"/>
          <w:insideH w:val="single" w:sz="4" w:space="0" w:color="E7F1EF"/>
          <w:insideV w:val="single" w:sz="4" w:space="0" w:color="E7F1EF"/>
        </w:tblBorders>
      </w:tblPr>
      <w:tblGrid>
        <w:gridCol w:w="9360"/>
      </w:tblGrid>
      <w:tr>
        <w:tc>
          <w:tcPr>
            <w:tcW w:type="dxa" w:w="9360"/>
            <w:shd w:fill="E7F1EF"/>
            <w:tcMar>
              <w:top w:w="80" w:type="dxa"/>
              <w:start w:w="120" w:type="dxa"/>
              <w:bottom w:w="80" w:type="dxa"/>
              <w:end w:w="120" w:type="dxa"/>
            </w:tcMar>
            <w:vAlign w:val="center"/>
          </w:tcPr>
          <w:p>
            <w:pPr>
              <w:spacing w:after="40"/>
            </w:pPr>
            <w:r>
              <w:rPr>
                <w:b/>
                <w:color w:val="123F3D"/>
              </w:rPr>
              <w:t>Product direction</w:t>
            </w:r>
          </w:p>
          <w:p>
            <w:pPr>
              <w:spacing w:after="0"/>
            </w:pPr>
            <w:r>
              <w:t>The strongest near-term improvements are not cosmetic: complete Arabic and Sorani localization, publish the missing legal/clinical trust pages, optimize large media delivery, make canonical metadata page-specific, and reduce friction in account creation and content operations.</w:t>
            </w:r>
          </w:p>
        </w:tc>
      </w:tr>
    </w:tbl>
    <w:p>
      <w:pPr>
        <w:spacing w:after="0"/>
      </w:pPr>
    </w:p>
    <w:p>
      <w:bookmarkStart w:id="1" w:name="section_1"/>
      <w:pPr>
        <w:pStyle w:val="Heading1"/>
      </w:pPr>
      <w:r>
        <w:t>Executive summary</w:t>
      </w:r>
      <w:bookmarkEnd w:id="1"/>
    </w:p>
    <w:p>
      <w:r>
        <w:t>The site already has a credible visual system, semantic page landmarks, visible focus treatment, responsive layouts, reduced-motion support, RTL document direction, explicit empty states, and server-rendered foundations. The most important gap is that the product presents itself as trilingual while the Arabic and Sorani dictionaries are empty and most component copy is hard-coded English. Locale routes therefore change language/direction metadata without delivering localized content.</w:t>
      </w:r>
    </w:p>
    <w:p>
      <w:r>
        <w:t>Performance is constrained by large PNG assets and raw img elements that lazy-load but do not provide responsive resizing, modern-format negotiation, or reliable intrinsic dimensions. The product also lacks real privacy/terms destinations, page-specific canonical metadata, sitemap/robots/manifest files, and clear telemetry. The admin experience is capable but concentrated in an oversized client component with a deprecated rich-text command model and corrupted labels.</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800"/>
        <w:gridCol w:w="3690"/>
        <w:gridCol w:w="3870"/>
      </w:tblGrid>
      <w:tr>
        <w:trPr>
          <w:tblHeader w:val="true"/>
        </w:trPr>
        <w:tc>
          <w:tcPr>
            <w:tcW w:type="dxa" w:w="1800"/>
            <w:shd w:fill="0F5E5A"/>
            <w:tcMar>
              <w:top w:w="80" w:type="dxa"/>
              <w:start w:w="120" w:type="dxa"/>
              <w:bottom w:w="80" w:type="dxa"/>
              <w:end w:w="120" w:type="dxa"/>
            </w:tcMar>
            <w:vAlign w:val="center"/>
          </w:tcPr>
          <w:p>
            <w:pPr>
              <w:pStyle w:val="TableText"/>
            </w:pPr>
            <w:r>
              <w:rPr>
                <w:b/>
                <w:color w:val="FFFFFF"/>
              </w:rPr>
              <w:t>Theme</w:t>
            </w:r>
          </w:p>
        </w:tc>
        <w:tc>
          <w:tcPr>
            <w:tcW w:type="dxa" w:w="3690"/>
            <w:shd w:fill="0F5E5A"/>
            <w:tcMar>
              <w:top w:w="80" w:type="dxa"/>
              <w:start w:w="120" w:type="dxa"/>
              <w:bottom w:w="80" w:type="dxa"/>
              <w:end w:w="120" w:type="dxa"/>
            </w:tcMar>
            <w:vAlign w:val="center"/>
          </w:tcPr>
          <w:p>
            <w:pPr>
              <w:pStyle w:val="TableText"/>
            </w:pPr>
            <w:r>
              <w:rPr>
                <w:b/>
                <w:color w:val="FFFFFF"/>
              </w:rPr>
              <w:t>Current posture</w:t>
            </w:r>
          </w:p>
        </w:tc>
        <w:tc>
          <w:tcPr>
            <w:tcW w:type="dxa" w:w="3870"/>
            <w:shd w:fill="0F5E5A"/>
            <w:tcMar>
              <w:top w:w="80" w:type="dxa"/>
              <w:start w:w="120" w:type="dxa"/>
              <w:bottom w:w="80" w:type="dxa"/>
              <w:end w:w="120" w:type="dxa"/>
            </w:tcMar>
            <w:vAlign w:val="center"/>
          </w:tcPr>
          <w:p>
            <w:pPr>
              <w:pStyle w:val="TableText"/>
            </w:pPr>
            <w:r>
              <w:rPr>
                <w:b/>
                <w:color w:val="FFFFFF"/>
              </w:rPr>
              <w:t>Priority outcome</w:t>
            </w:r>
          </w:p>
        </w:tc>
      </w:tr>
      <w:tr>
        <w:tc>
          <w:tcPr>
            <w:tcW w:type="dxa" w:w="1800"/>
            <w:tcMar>
              <w:top w:w="80" w:type="dxa"/>
              <w:start w:w="120" w:type="dxa"/>
              <w:bottom w:w="80" w:type="dxa"/>
              <w:end w:w="120" w:type="dxa"/>
            </w:tcMar>
            <w:vAlign w:val="center"/>
          </w:tcPr>
          <w:p>
            <w:pPr>
              <w:pStyle w:val="TableText"/>
            </w:pPr>
            <w:r>
              <w:t>Localization</w:t>
            </w:r>
          </w:p>
        </w:tc>
        <w:tc>
          <w:tcPr>
            <w:tcW w:type="dxa" w:w="3690"/>
            <w:tcMar>
              <w:top w:w="80" w:type="dxa"/>
              <w:start w:w="120" w:type="dxa"/>
              <w:bottom w:w="80" w:type="dxa"/>
              <w:end w:w="120" w:type="dxa"/>
            </w:tcMar>
            <w:vAlign w:val="center"/>
          </w:tcPr>
          <w:p>
            <w:pPr>
              <w:pStyle w:val="TableText"/>
            </w:pPr>
            <w:r>
              <w:t>RTL shell exists; Arabic/Sorani content dictionaries are empty.</w:t>
            </w:r>
          </w:p>
        </w:tc>
        <w:tc>
          <w:tcPr>
            <w:tcW w:type="dxa" w:w="3870"/>
            <w:tcMar>
              <w:top w:w="80" w:type="dxa"/>
              <w:start w:w="120" w:type="dxa"/>
              <w:bottom w:w="80" w:type="dxa"/>
              <w:end w:w="120" w:type="dxa"/>
            </w:tcMar>
            <w:vAlign w:val="center"/>
          </w:tcPr>
          <w:p>
            <w:pPr>
              <w:pStyle w:val="TableText"/>
            </w:pPr>
            <w:r>
              <w:t>Complete professional localization and locale QA.</w:t>
            </w:r>
          </w:p>
        </w:tc>
      </w:tr>
      <w:tr>
        <w:tc>
          <w:tcPr>
            <w:tcW w:type="dxa" w:w="1800"/>
            <w:tcMar>
              <w:top w:w="80" w:type="dxa"/>
              <w:start w:w="120" w:type="dxa"/>
              <w:bottom w:w="80" w:type="dxa"/>
              <w:end w:w="120" w:type="dxa"/>
            </w:tcMar>
            <w:vAlign w:val="center"/>
          </w:tcPr>
          <w:p>
            <w:pPr>
              <w:pStyle w:val="TableText"/>
            </w:pPr>
            <w:r>
              <w:t>Trust</w:t>
            </w:r>
          </w:p>
        </w:tc>
        <w:tc>
          <w:tcPr>
            <w:tcW w:type="dxa" w:w="3690"/>
            <w:tcMar>
              <w:top w:w="80" w:type="dxa"/>
              <w:start w:w="120" w:type="dxa"/>
              <w:bottom w:w="80" w:type="dxa"/>
              <w:end w:w="120" w:type="dxa"/>
            </w:tcMar>
            <w:vAlign w:val="center"/>
          </w:tcPr>
          <w:p>
            <w:pPr>
              <w:pStyle w:val="TableText"/>
            </w:pPr>
            <w:r>
              <w:t>Clinical education context and member accounts, but legal/footer destinations are placeholders.</w:t>
            </w:r>
          </w:p>
        </w:tc>
        <w:tc>
          <w:tcPr>
            <w:tcW w:type="dxa" w:w="3870"/>
            <w:tcMar>
              <w:top w:w="80" w:type="dxa"/>
              <w:start w:w="120" w:type="dxa"/>
              <w:bottom w:w="80" w:type="dxa"/>
              <w:end w:w="120" w:type="dxa"/>
            </w:tcMar>
            <w:vAlign w:val="center"/>
          </w:tcPr>
          <w:p>
            <w:pPr>
              <w:pStyle w:val="TableText"/>
            </w:pPr>
            <w:r>
              <w:t>Publish privacy, terms, clinical disclaimer, consent/media policy.</w:t>
            </w:r>
          </w:p>
        </w:tc>
      </w:tr>
      <w:tr>
        <w:tc>
          <w:tcPr>
            <w:tcW w:type="dxa" w:w="1800"/>
            <w:tcMar>
              <w:top w:w="80" w:type="dxa"/>
              <w:start w:w="120" w:type="dxa"/>
              <w:bottom w:w="80" w:type="dxa"/>
              <w:end w:w="120" w:type="dxa"/>
            </w:tcMar>
            <w:vAlign w:val="center"/>
          </w:tcPr>
          <w:p>
            <w:pPr>
              <w:pStyle w:val="TableText"/>
            </w:pPr>
            <w:r>
              <w:t>Performance</w:t>
            </w:r>
          </w:p>
        </w:tc>
        <w:tc>
          <w:tcPr>
            <w:tcW w:type="dxa" w:w="3690"/>
            <w:tcMar>
              <w:top w:w="80" w:type="dxa"/>
              <w:start w:w="120" w:type="dxa"/>
              <w:bottom w:w="80" w:type="dxa"/>
              <w:end w:w="120" w:type="dxa"/>
            </w:tcMar>
            <w:vAlign w:val="center"/>
          </w:tcPr>
          <w:p>
            <w:pPr>
              <w:pStyle w:val="TableText"/>
            </w:pPr>
            <w:r>
              <w:t>Server rendering and lazy loading exist; many large unresponsive PNG/img assets remain.</w:t>
            </w:r>
          </w:p>
        </w:tc>
        <w:tc>
          <w:tcPr>
            <w:tcW w:type="dxa" w:w="3870"/>
            <w:tcMar>
              <w:top w:w="80" w:type="dxa"/>
              <w:start w:w="120" w:type="dxa"/>
              <w:bottom w:w="80" w:type="dxa"/>
              <w:end w:w="120" w:type="dxa"/>
            </w:tcMar>
            <w:vAlign w:val="center"/>
          </w:tcPr>
          <w:p>
            <w:pPr>
              <w:pStyle w:val="TableText"/>
            </w:pPr>
            <w:r>
              <w:t>Responsive optimized media, budgets, field telemetry.</w:t>
            </w:r>
          </w:p>
        </w:tc>
      </w:tr>
      <w:tr>
        <w:tc>
          <w:tcPr>
            <w:tcW w:type="dxa" w:w="1800"/>
            <w:tcMar>
              <w:top w:w="80" w:type="dxa"/>
              <w:start w:w="120" w:type="dxa"/>
              <w:bottom w:w="80" w:type="dxa"/>
              <w:end w:w="120" w:type="dxa"/>
            </w:tcMar>
            <w:vAlign w:val="center"/>
          </w:tcPr>
          <w:p>
            <w:pPr>
              <w:pStyle w:val="TableText"/>
            </w:pPr>
            <w:r>
              <w:t>Accessibility</w:t>
            </w:r>
          </w:p>
        </w:tc>
        <w:tc>
          <w:tcPr>
            <w:tcW w:type="dxa" w:w="3690"/>
            <w:tcMar>
              <w:top w:w="80" w:type="dxa"/>
              <w:start w:w="120" w:type="dxa"/>
              <w:bottom w:w="80" w:type="dxa"/>
              <w:end w:w="120" w:type="dxa"/>
            </w:tcMar>
            <w:vAlign w:val="center"/>
          </w:tcPr>
          <w:p>
            <w:pPr>
              <w:pStyle w:val="TableText"/>
            </w:pPr>
            <w:r>
              <w:t>Good landmarks/focus/reduced motion; modal/nav/editor/form details need verification.</w:t>
            </w:r>
          </w:p>
        </w:tc>
        <w:tc>
          <w:tcPr>
            <w:tcW w:type="dxa" w:w="3870"/>
            <w:tcMar>
              <w:top w:w="80" w:type="dxa"/>
              <w:start w:w="120" w:type="dxa"/>
              <w:bottom w:w="80" w:type="dxa"/>
              <w:end w:w="120" w:type="dxa"/>
            </w:tcMar>
            <w:vAlign w:val="center"/>
          </w:tcPr>
          <w:p>
            <w:pPr>
              <w:pStyle w:val="TableText"/>
            </w:pPr>
            <w:r>
              <w:t>WCAG 2.2 AA release gate and manual assistive-tech review.</w:t>
            </w:r>
          </w:p>
        </w:tc>
      </w:tr>
      <w:tr>
        <w:tc>
          <w:tcPr>
            <w:tcW w:type="dxa" w:w="1800"/>
            <w:tcMar>
              <w:top w:w="80" w:type="dxa"/>
              <w:start w:w="120" w:type="dxa"/>
              <w:bottom w:w="80" w:type="dxa"/>
              <w:end w:w="120" w:type="dxa"/>
            </w:tcMar>
            <w:vAlign w:val="center"/>
          </w:tcPr>
          <w:p>
            <w:pPr>
              <w:pStyle w:val="TableText"/>
            </w:pPr>
            <w:r>
              <w:t>SEO</w:t>
            </w:r>
          </w:p>
        </w:tc>
        <w:tc>
          <w:tcPr>
            <w:tcW w:type="dxa" w:w="3690"/>
            <w:tcMar>
              <w:top w:w="80" w:type="dxa"/>
              <w:start w:w="120" w:type="dxa"/>
              <w:bottom w:w="80" w:type="dxa"/>
              <w:end w:w="120" w:type="dxa"/>
            </w:tcMar>
            <w:vAlign w:val="center"/>
          </w:tcPr>
          <w:p>
            <w:pPr>
              <w:pStyle w:val="TableText"/>
            </w:pPr>
            <w:r>
              <w:t>Locale metadata exists; nested canonical behavior and discovery files are incomplete.</w:t>
            </w:r>
          </w:p>
        </w:tc>
        <w:tc>
          <w:tcPr>
            <w:tcW w:type="dxa" w:w="3870"/>
            <w:tcMar>
              <w:top w:w="80" w:type="dxa"/>
              <w:start w:w="120" w:type="dxa"/>
              <w:bottom w:w="80" w:type="dxa"/>
              <w:end w:w="120" w:type="dxa"/>
            </w:tcMar>
            <w:vAlign w:val="center"/>
          </w:tcPr>
          <w:p>
            <w:pPr>
              <w:pStyle w:val="TableText"/>
            </w:pPr>
            <w:r>
              <w:t>Stable SITE_URL, per-page canonical/hreflang, sitemap, robots, OG.</w:t>
            </w:r>
          </w:p>
        </w:tc>
      </w:tr>
      <w:tr>
        <w:tc>
          <w:tcPr>
            <w:tcW w:type="dxa" w:w="1800"/>
            <w:tcMar>
              <w:top w:w="80" w:type="dxa"/>
              <w:start w:w="120" w:type="dxa"/>
              <w:bottom w:w="80" w:type="dxa"/>
              <w:end w:w="120" w:type="dxa"/>
            </w:tcMar>
            <w:vAlign w:val="center"/>
          </w:tcPr>
          <w:p>
            <w:pPr>
              <w:pStyle w:val="TableText"/>
            </w:pPr>
            <w:r>
              <w:t>Operations</w:t>
            </w:r>
          </w:p>
        </w:tc>
        <w:tc>
          <w:tcPr>
            <w:tcW w:type="dxa" w:w="3690"/>
            <w:tcMar>
              <w:top w:w="80" w:type="dxa"/>
              <w:start w:w="120" w:type="dxa"/>
              <w:bottom w:w="80" w:type="dxa"/>
              <w:end w:w="120" w:type="dxa"/>
            </w:tcMar>
            <w:vAlign w:val="center"/>
          </w:tcPr>
          <w:p>
            <w:pPr>
              <w:pStyle w:val="TableText"/>
            </w:pPr>
            <w:r>
              <w:t>Functional admin CRUD; broad component and mutation coupling.</w:t>
            </w:r>
          </w:p>
        </w:tc>
        <w:tc>
          <w:tcPr>
            <w:tcW w:type="dxa" w:w="3870"/>
            <w:tcMar>
              <w:top w:w="80" w:type="dxa"/>
              <w:start w:w="120" w:type="dxa"/>
              <w:bottom w:w="80" w:type="dxa"/>
              <w:end w:w="120" w:type="dxa"/>
            </w:tcMar>
            <w:vAlign w:val="center"/>
          </w:tcPr>
          <w:p>
            <w:pPr>
              <w:pStyle w:val="TableText"/>
            </w:pPr>
            <w:r>
              <w:t>Structured editor, transactional writes, auditability, precise cache invalidation.</w:t>
            </w:r>
          </w:p>
        </w:tc>
      </w:tr>
    </w:tbl>
    <w:p>
      <w:pPr>
        <w:spacing w:after="0"/>
      </w:pPr>
    </w:p>
    <w:p>
      <w:bookmarkStart w:id="2" w:name="section_2"/>
      <w:pPr>
        <w:pStyle w:val="Heading1"/>
      </w:pPr>
      <w:r>
        <w:t>What is already working well</w:t>
      </w:r>
      <w:bookmarkEnd w:id="2"/>
    </w:p>
    <w:p>
      <w:pPr>
        <w:numPr>
          <w:ilvl w:val="0"/>
          <w:numId w:val="10"/>
        </w:numPr>
        <w:keepLines/>
        <w:spacing w:after="80"/>
      </w:pPr>
      <w:r>
        <w:t>Semantic landmarks and a skip link support keyboard and screen-reader navigation.</w:t>
      </w:r>
    </w:p>
    <w:p>
      <w:pPr>
        <w:numPr>
          <w:ilvl w:val="0"/>
          <w:numId w:val="10"/>
        </w:numPr>
        <w:keepLines/>
        <w:spacing w:after="80"/>
      </w:pPr>
      <w:r>
        <w:t>Focus-visible styling, generally generous control sizing, reduced-motion handling, and responsive grids provide a sound accessibility baseline.</w:t>
      </w:r>
    </w:p>
    <w:p>
      <w:pPr>
        <w:numPr>
          <w:ilvl w:val="0"/>
          <w:numId w:val="10"/>
        </w:numPr>
        <w:keepLines/>
        <w:spacing w:after="80"/>
      </w:pPr>
      <w:r>
        <w:t>The locale layout sets lang and dir, so the structural foundation for right-to-left rendering exists.</w:t>
      </w:r>
    </w:p>
    <w:p>
      <w:pPr>
        <w:numPr>
          <w:ilvl w:val="0"/>
          <w:numId w:val="10"/>
        </w:numPr>
        <w:keepLines/>
        <w:spacing w:after="80"/>
      </w:pPr>
      <w:r>
        <w:t>Server components are used for substantial page composition, limiting client JavaScript by default.</w:t>
      </w:r>
    </w:p>
    <w:p>
      <w:pPr>
        <w:numPr>
          <w:ilvl w:val="0"/>
          <w:numId w:val="10"/>
        </w:numPr>
        <w:keepLines/>
        <w:spacing w:after="80"/>
      </w:pPr>
      <w:r>
        <w:t>Empty, loading, and restricted-member states are represented explicitly in the library experience.</w:t>
      </w:r>
    </w:p>
    <w:p>
      <w:pPr>
        <w:numPr>
          <w:ilvl w:val="0"/>
          <w:numId w:val="10"/>
        </w:numPr>
        <w:keepLines/>
        <w:spacing w:after="80"/>
      </w:pPr>
      <w:r>
        <w:t>The visual direction is distinctive and appropriate for a surgical education platform: deep teal, ivory, copper accents, clear editorial typography, and anatomical imagery.</w:t>
      </w:r>
    </w:p>
    <w:p>
      <w:pPr>
        <w:numPr>
          <w:ilvl w:val="0"/>
          <w:numId w:val="10"/>
        </w:numPr>
        <w:keepLines/>
        <w:spacing w:after="80"/>
      </w:pPr>
      <w:r>
        <w:t>Rich HTML is sanitized before rendering, and the image gallery includes dialog semantics and keyboard-oriented controls that can be strengthened rather than replaced wholesale.</w:t>
      </w:r>
    </w:p>
    <w:p>
      <w:bookmarkStart w:id="3" w:name="section_3"/>
      <w:pPr>
        <w:pStyle w:val="Heading1"/>
      </w:pPr>
      <w:r>
        <w:t>Prioritized enhancement register</w:t>
      </w:r>
      <w:bookmarkEnd w:id="3"/>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650"/>
        <w:gridCol w:w="750"/>
        <w:gridCol w:w="5250"/>
        <w:gridCol w:w="2710"/>
      </w:tblGrid>
      <w:tr>
        <w:trPr>
          <w:tblHeader w:val="true"/>
        </w:trPr>
        <w:tc>
          <w:tcPr>
            <w:tcW w:type="dxa" w:w="650"/>
            <w:shd w:fill="0F5E5A"/>
            <w:tcMar>
              <w:top w:w="80" w:type="dxa"/>
              <w:start w:w="120" w:type="dxa"/>
              <w:bottom w:w="80" w:type="dxa"/>
              <w:end w:w="120" w:type="dxa"/>
            </w:tcMar>
            <w:vAlign w:val="center"/>
          </w:tcPr>
          <w:p>
            <w:pPr>
              <w:pStyle w:val="TableText"/>
            </w:pPr>
            <w:r>
              <w:rPr>
                <w:b/>
                <w:color w:val="FFFFFF"/>
              </w:rPr>
              <w:t>ID</w:t>
            </w:r>
          </w:p>
        </w:tc>
        <w:tc>
          <w:tcPr>
            <w:tcW w:type="dxa" w:w="750"/>
            <w:shd w:fill="0F5E5A"/>
            <w:tcMar>
              <w:top w:w="80" w:type="dxa"/>
              <w:start w:w="120" w:type="dxa"/>
              <w:bottom w:w="80" w:type="dxa"/>
              <w:end w:w="120" w:type="dxa"/>
            </w:tcMar>
            <w:vAlign w:val="center"/>
          </w:tcPr>
          <w:p>
            <w:pPr>
              <w:pStyle w:val="TableText"/>
            </w:pPr>
            <w:r>
              <w:rPr>
                <w:b/>
                <w:color w:val="FFFFFF"/>
              </w:rPr>
              <w:t>Priority</w:t>
            </w:r>
          </w:p>
        </w:tc>
        <w:tc>
          <w:tcPr>
            <w:tcW w:type="dxa" w:w="5250"/>
            <w:shd w:fill="0F5E5A"/>
            <w:tcMar>
              <w:top w:w="80" w:type="dxa"/>
              <w:start w:w="120" w:type="dxa"/>
              <w:bottom w:w="80" w:type="dxa"/>
              <w:end w:w="120" w:type="dxa"/>
            </w:tcMar>
            <w:vAlign w:val="center"/>
          </w:tcPr>
          <w:p>
            <w:pPr>
              <w:pStyle w:val="TableText"/>
            </w:pPr>
            <w:r>
              <w:rPr>
                <w:b/>
                <w:color w:val="FFFFFF"/>
              </w:rPr>
              <w:t>Enhancement</w:t>
            </w:r>
          </w:p>
        </w:tc>
        <w:tc>
          <w:tcPr>
            <w:tcW w:type="dxa" w:w="2710"/>
            <w:shd w:fill="0F5E5A"/>
            <w:tcMar>
              <w:top w:w="80" w:type="dxa"/>
              <w:start w:w="120" w:type="dxa"/>
              <w:bottom w:w="80" w:type="dxa"/>
              <w:end w:w="120" w:type="dxa"/>
            </w:tcMar>
            <w:vAlign w:val="center"/>
          </w:tcPr>
          <w:p>
            <w:pPr>
              <w:pStyle w:val="TableText"/>
            </w:pPr>
            <w:r>
              <w:rPr>
                <w:b/>
                <w:color w:val="FFFFFF"/>
              </w:rPr>
              <w:t>Primary measure</w:t>
            </w:r>
          </w:p>
        </w:tc>
      </w:tr>
      <w:tr>
        <w:tc>
          <w:tcPr>
            <w:tcW w:type="dxa" w:w="650"/>
            <w:tcMar>
              <w:top w:w="80" w:type="dxa"/>
              <w:start w:w="120" w:type="dxa"/>
              <w:bottom w:w="80" w:type="dxa"/>
              <w:end w:w="120" w:type="dxa"/>
            </w:tcMar>
            <w:vAlign w:val="center"/>
          </w:tcPr>
          <w:p>
            <w:pPr>
              <w:pStyle w:val="TableText"/>
            </w:pPr>
            <w:r>
              <w:t>P-01</w:t>
            </w:r>
          </w:p>
        </w:tc>
        <w:tc>
          <w:tcPr>
            <w:tcW w:type="dxa" w:w="750"/>
            <w:tcMar>
              <w:top w:w="80" w:type="dxa"/>
              <w:start w:w="120" w:type="dxa"/>
              <w:bottom w:w="80" w:type="dxa"/>
              <w:end w:w="120" w:type="dxa"/>
            </w:tcMar>
            <w:vAlign w:val="center"/>
          </w:tcPr>
          <w:p>
            <w:pPr>
              <w:pStyle w:val="TableText"/>
            </w:pPr>
            <w:r>
              <w:t>P0</w:t>
            </w:r>
          </w:p>
        </w:tc>
        <w:tc>
          <w:tcPr>
            <w:tcW w:type="dxa" w:w="5250"/>
            <w:tcMar>
              <w:top w:w="80" w:type="dxa"/>
              <w:start w:w="120" w:type="dxa"/>
              <w:bottom w:w="80" w:type="dxa"/>
              <w:end w:w="120" w:type="dxa"/>
            </w:tcMar>
            <w:vAlign w:val="center"/>
          </w:tcPr>
          <w:p>
            <w:pPr>
              <w:pStyle w:val="TableText"/>
            </w:pPr>
            <w:r>
              <w:t>Complete Arabic and Sorani localization</w:t>
            </w:r>
          </w:p>
        </w:tc>
        <w:tc>
          <w:tcPr>
            <w:tcW w:type="dxa" w:w="2710"/>
            <w:tcMar>
              <w:top w:w="80" w:type="dxa"/>
              <w:start w:w="120" w:type="dxa"/>
              <w:bottom w:w="80" w:type="dxa"/>
              <w:end w:w="120" w:type="dxa"/>
            </w:tcMar>
            <w:vAlign w:val="center"/>
          </w:tcPr>
          <w:p>
            <w:pPr>
              <w:pStyle w:val="TableText"/>
            </w:pPr>
            <w:r>
              <w:t>Localized-string coverage; locale QA pass</w:t>
            </w:r>
          </w:p>
        </w:tc>
      </w:tr>
      <w:tr>
        <w:tc>
          <w:tcPr>
            <w:tcW w:type="dxa" w:w="650"/>
            <w:tcMar>
              <w:top w:w="80" w:type="dxa"/>
              <w:start w:w="120" w:type="dxa"/>
              <w:bottom w:w="80" w:type="dxa"/>
              <w:end w:w="120" w:type="dxa"/>
            </w:tcMar>
            <w:vAlign w:val="center"/>
          </w:tcPr>
          <w:p>
            <w:pPr>
              <w:pStyle w:val="TableText"/>
            </w:pPr>
            <w:r>
              <w:t>P-02</w:t>
            </w:r>
          </w:p>
        </w:tc>
        <w:tc>
          <w:tcPr>
            <w:tcW w:type="dxa" w:w="750"/>
            <w:tcMar>
              <w:top w:w="80" w:type="dxa"/>
              <w:start w:w="120" w:type="dxa"/>
              <w:bottom w:w="80" w:type="dxa"/>
              <w:end w:w="120" w:type="dxa"/>
            </w:tcMar>
            <w:vAlign w:val="center"/>
          </w:tcPr>
          <w:p>
            <w:pPr>
              <w:pStyle w:val="TableText"/>
            </w:pPr>
            <w:r>
              <w:t>P0</w:t>
            </w:r>
          </w:p>
        </w:tc>
        <w:tc>
          <w:tcPr>
            <w:tcW w:type="dxa" w:w="5250"/>
            <w:tcMar>
              <w:top w:w="80" w:type="dxa"/>
              <w:start w:w="120" w:type="dxa"/>
              <w:bottom w:w="80" w:type="dxa"/>
              <w:end w:w="120" w:type="dxa"/>
            </w:tcMar>
            <w:vAlign w:val="center"/>
          </w:tcPr>
          <w:p>
            <w:pPr>
              <w:pStyle w:val="TableText"/>
            </w:pPr>
            <w:r>
              <w:t>Publish legal and clinical trust pages</w:t>
            </w:r>
          </w:p>
        </w:tc>
        <w:tc>
          <w:tcPr>
            <w:tcW w:type="dxa" w:w="2710"/>
            <w:tcMar>
              <w:top w:w="80" w:type="dxa"/>
              <w:start w:w="120" w:type="dxa"/>
              <w:bottom w:w="80" w:type="dxa"/>
              <w:end w:w="120" w:type="dxa"/>
            </w:tcMar>
            <w:vAlign w:val="center"/>
          </w:tcPr>
          <w:p>
            <w:pPr>
              <w:pStyle w:val="TableText"/>
            </w:pPr>
            <w:r>
              <w:t>Real footer destinations; policy approval</w:t>
            </w:r>
          </w:p>
        </w:tc>
      </w:tr>
      <w:tr>
        <w:tc>
          <w:tcPr>
            <w:tcW w:type="dxa" w:w="650"/>
            <w:tcMar>
              <w:top w:w="80" w:type="dxa"/>
              <w:start w:w="120" w:type="dxa"/>
              <w:bottom w:w="80" w:type="dxa"/>
              <w:end w:w="120" w:type="dxa"/>
            </w:tcMar>
            <w:vAlign w:val="center"/>
          </w:tcPr>
          <w:p>
            <w:pPr>
              <w:pStyle w:val="TableText"/>
            </w:pPr>
            <w:r>
              <w:t>P-03</w:t>
            </w:r>
          </w:p>
        </w:tc>
        <w:tc>
          <w:tcPr>
            <w:tcW w:type="dxa" w:w="750"/>
            <w:tcMar>
              <w:top w:w="80" w:type="dxa"/>
              <w:start w:w="120" w:type="dxa"/>
              <w:bottom w:w="80" w:type="dxa"/>
              <w:end w:w="120" w:type="dxa"/>
            </w:tcMar>
            <w:vAlign w:val="center"/>
          </w:tcPr>
          <w:p>
            <w:pPr>
              <w:pStyle w:val="TableText"/>
            </w:pPr>
            <w:r>
              <w:t>P0</w:t>
            </w:r>
          </w:p>
        </w:tc>
        <w:tc>
          <w:tcPr>
            <w:tcW w:type="dxa" w:w="5250"/>
            <w:tcMar>
              <w:top w:w="80" w:type="dxa"/>
              <w:start w:w="120" w:type="dxa"/>
              <w:bottom w:w="80" w:type="dxa"/>
              <w:end w:w="120" w:type="dxa"/>
            </w:tcMar>
            <w:vAlign w:val="center"/>
          </w:tcPr>
          <w:p>
            <w:pPr>
              <w:pStyle w:val="TableText"/>
            </w:pPr>
            <w:r>
              <w:t>Responsive image/media pipeline</w:t>
            </w:r>
          </w:p>
        </w:tc>
        <w:tc>
          <w:tcPr>
            <w:tcW w:type="dxa" w:w="2710"/>
            <w:tcMar>
              <w:top w:w="80" w:type="dxa"/>
              <w:start w:w="120" w:type="dxa"/>
              <w:bottom w:w="80" w:type="dxa"/>
              <w:end w:w="120" w:type="dxa"/>
            </w:tcMar>
            <w:vAlign w:val="center"/>
          </w:tcPr>
          <w:p>
            <w:pPr>
              <w:pStyle w:val="TableText"/>
            </w:pPr>
            <w:r>
              <w:t>LCP/bytes; no layout shift</w:t>
            </w:r>
          </w:p>
        </w:tc>
      </w:tr>
      <w:tr>
        <w:tc>
          <w:tcPr>
            <w:tcW w:type="dxa" w:w="650"/>
            <w:tcMar>
              <w:top w:w="80" w:type="dxa"/>
              <w:start w:w="120" w:type="dxa"/>
              <w:bottom w:w="80" w:type="dxa"/>
              <w:end w:w="120" w:type="dxa"/>
            </w:tcMar>
            <w:vAlign w:val="center"/>
          </w:tcPr>
          <w:p>
            <w:pPr>
              <w:pStyle w:val="TableText"/>
            </w:pPr>
            <w:r>
              <w:t>P-04</w:t>
            </w:r>
          </w:p>
        </w:tc>
        <w:tc>
          <w:tcPr>
            <w:tcW w:type="dxa" w:w="750"/>
            <w:tcMar>
              <w:top w:w="80" w:type="dxa"/>
              <w:start w:w="120" w:type="dxa"/>
              <w:bottom w:w="80" w:type="dxa"/>
              <w:end w:w="120" w:type="dxa"/>
            </w:tcMar>
            <w:vAlign w:val="center"/>
          </w:tcPr>
          <w:p>
            <w:pPr>
              <w:pStyle w:val="TableText"/>
            </w:pPr>
            <w:r>
              <w:t>P0</w:t>
            </w:r>
          </w:p>
        </w:tc>
        <w:tc>
          <w:tcPr>
            <w:tcW w:type="dxa" w:w="5250"/>
            <w:tcMar>
              <w:top w:w="80" w:type="dxa"/>
              <w:start w:w="120" w:type="dxa"/>
              <w:bottom w:w="80" w:type="dxa"/>
              <w:end w:w="120" w:type="dxa"/>
            </w:tcMar>
            <w:vAlign w:val="center"/>
          </w:tcPr>
          <w:p>
            <w:pPr>
              <w:pStyle w:val="TableText"/>
            </w:pPr>
            <w:r>
              <w:t>Correct canonical, hreflang, sitemap, robots, and site origin</w:t>
            </w:r>
          </w:p>
        </w:tc>
        <w:tc>
          <w:tcPr>
            <w:tcW w:type="dxa" w:w="2710"/>
            <w:tcMar>
              <w:top w:w="80" w:type="dxa"/>
              <w:start w:w="120" w:type="dxa"/>
              <w:bottom w:w="80" w:type="dxa"/>
              <w:end w:w="120" w:type="dxa"/>
            </w:tcMar>
            <w:vAlign w:val="center"/>
          </w:tcPr>
          <w:p>
            <w:pPr>
              <w:pStyle w:val="TableText"/>
            </w:pPr>
            <w:r>
              <w:t>Valid indexed URLs; no duplicate canonical</w:t>
            </w:r>
          </w:p>
        </w:tc>
      </w:tr>
      <w:tr>
        <w:tc>
          <w:tcPr>
            <w:tcW w:type="dxa" w:w="650"/>
            <w:tcMar>
              <w:top w:w="80" w:type="dxa"/>
              <w:start w:w="120" w:type="dxa"/>
              <w:bottom w:w="80" w:type="dxa"/>
              <w:end w:w="120" w:type="dxa"/>
            </w:tcMar>
            <w:vAlign w:val="center"/>
          </w:tcPr>
          <w:p>
            <w:pPr>
              <w:pStyle w:val="TableText"/>
            </w:pPr>
            <w:r>
              <w:t>P-05</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WCAG 2.2 AA validation and interaction fixes</w:t>
            </w:r>
          </w:p>
        </w:tc>
        <w:tc>
          <w:tcPr>
            <w:tcW w:type="dxa" w:w="2710"/>
            <w:tcMar>
              <w:top w:w="80" w:type="dxa"/>
              <w:start w:w="120" w:type="dxa"/>
              <w:bottom w:w="80" w:type="dxa"/>
              <w:end w:w="120" w:type="dxa"/>
            </w:tcMar>
            <w:vAlign w:val="center"/>
          </w:tcPr>
          <w:p>
            <w:pPr>
              <w:pStyle w:val="TableText"/>
            </w:pPr>
            <w:r>
              <w:t>Automated + manual audit pass</w:t>
            </w:r>
          </w:p>
        </w:tc>
      </w:tr>
      <w:tr>
        <w:tc>
          <w:tcPr>
            <w:tcW w:type="dxa" w:w="650"/>
            <w:tcMar>
              <w:top w:w="80" w:type="dxa"/>
              <w:start w:w="120" w:type="dxa"/>
              <w:bottom w:w="80" w:type="dxa"/>
              <w:end w:w="120" w:type="dxa"/>
            </w:tcMar>
            <w:vAlign w:val="center"/>
          </w:tcPr>
          <w:p>
            <w:pPr>
              <w:pStyle w:val="TableText"/>
            </w:pPr>
            <w:r>
              <w:t>P-06</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Progressive sign-up and profile completion</w:t>
            </w:r>
          </w:p>
        </w:tc>
        <w:tc>
          <w:tcPr>
            <w:tcW w:type="dxa" w:w="2710"/>
            <w:tcMar>
              <w:top w:w="80" w:type="dxa"/>
              <w:start w:w="120" w:type="dxa"/>
              <w:bottom w:w="80" w:type="dxa"/>
              <w:end w:w="120" w:type="dxa"/>
            </w:tcMar>
            <w:vAlign w:val="center"/>
          </w:tcPr>
          <w:p>
            <w:pPr>
              <w:pStyle w:val="TableText"/>
            </w:pPr>
            <w:r>
              <w:t>Completion/conversion; reduced abandonment</w:t>
            </w:r>
          </w:p>
        </w:tc>
      </w:tr>
      <w:tr>
        <w:tc>
          <w:tcPr>
            <w:tcW w:type="dxa" w:w="650"/>
            <w:tcMar>
              <w:top w:w="80" w:type="dxa"/>
              <w:start w:w="120" w:type="dxa"/>
              <w:bottom w:w="80" w:type="dxa"/>
              <w:end w:w="120" w:type="dxa"/>
            </w:tcMar>
            <w:vAlign w:val="center"/>
          </w:tcPr>
          <w:p>
            <w:pPr>
              <w:pStyle w:val="TableText"/>
            </w:pPr>
            <w:r>
              <w:t>P-07</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Replace fragile admin rich-text workflow</w:t>
            </w:r>
          </w:p>
        </w:tc>
        <w:tc>
          <w:tcPr>
            <w:tcW w:type="dxa" w:w="2710"/>
            <w:tcMar>
              <w:top w:w="80" w:type="dxa"/>
              <w:start w:w="120" w:type="dxa"/>
              <w:bottom w:w="80" w:type="dxa"/>
              <w:end w:w="120" w:type="dxa"/>
            </w:tcMar>
            <w:vAlign w:val="center"/>
          </w:tcPr>
          <w:p>
            <w:pPr>
              <w:pStyle w:val="TableText"/>
            </w:pPr>
            <w:r>
              <w:t>Editor task success; fewer content defects</w:t>
            </w:r>
          </w:p>
        </w:tc>
      </w:tr>
      <w:tr>
        <w:tc>
          <w:tcPr>
            <w:tcW w:type="dxa" w:w="650"/>
            <w:tcMar>
              <w:top w:w="80" w:type="dxa"/>
              <w:start w:w="120" w:type="dxa"/>
              <w:bottom w:w="80" w:type="dxa"/>
              <w:end w:w="120" w:type="dxa"/>
            </w:tcMar>
            <w:vAlign w:val="center"/>
          </w:tcPr>
          <w:p>
            <w:pPr>
              <w:pStyle w:val="TableText"/>
            </w:pPr>
            <w:r>
              <w:t>P-08</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Search, filters, pagination, and saved-learning model</w:t>
            </w:r>
          </w:p>
        </w:tc>
        <w:tc>
          <w:tcPr>
            <w:tcW w:type="dxa" w:w="2710"/>
            <w:tcMar>
              <w:top w:w="80" w:type="dxa"/>
              <w:start w:w="120" w:type="dxa"/>
              <w:bottom w:w="80" w:type="dxa"/>
              <w:end w:w="120" w:type="dxa"/>
            </w:tcMar>
            <w:vAlign w:val="center"/>
          </w:tcPr>
          <w:p>
            <w:pPr>
              <w:pStyle w:val="TableText"/>
            </w:pPr>
            <w:r>
              <w:t>Findability; return rate; query efficiency</w:t>
            </w:r>
          </w:p>
        </w:tc>
      </w:tr>
      <w:tr>
        <w:tc>
          <w:tcPr>
            <w:tcW w:type="dxa" w:w="650"/>
            <w:tcMar>
              <w:top w:w="80" w:type="dxa"/>
              <w:start w:w="120" w:type="dxa"/>
              <w:bottom w:w="80" w:type="dxa"/>
              <w:end w:w="120" w:type="dxa"/>
            </w:tcMar>
            <w:vAlign w:val="center"/>
          </w:tcPr>
          <w:p>
            <w:pPr>
              <w:pStyle w:val="TableText"/>
            </w:pPr>
            <w:r>
              <w:t>P-09</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Cache invalidation, transactions, and typed data layer</w:t>
            </w:r>
          </w:p>
        </w:tc>
        <w:tc>
          <w:tcPr>
            <w:tcW w:type="dxa" w:w="2710"/>
            <w:tcMar>
              <w:top w:w="80" w:type="dxa"/>
              <w:start w:w="120" w:type="dxa"/>
              <w:bottom w:w="80" w:type="dxa"/>
              <w:end w:w="120" w:type="dxa"/>
            </w:tcMar>
            <w:vAlign w:val="center"/>
          </w:tcPr>
          <w:p>
            <w:pPr>
              <w:pStyle w:val="TableText"/>
            </w:pPr>
            <w:r>
              <w:t>Freshness; failed-save rate</w:t>
            </w:r>
          </w:p>
        </w:tc>
      </w:tr>
      <w:tr>
        <w:tc>
          <w:tcPr>
            <w:tcW w:type="dxa" w:w="650"/>
            <w:tcMar>
              <w:top w:w="80" w:type="dxa"/>
              <w:start w:w="120" w:type="dxa"/>
              <w:bottom w:w="80" w:type="dxa"/>
              <w:end w:w="120" w:type="dxa"/>
            </w:tcMar>
            <w:vAlign w:val="center"/>
          </w:tcPr>
          <w:p>
            <w:pPr>
              <w:pStyle w:val="TableText"/>
            </w:pPr>
            <w:r>
              <w:t>P-10</w:t>
            </w:r>
          </w:p>
        </w:tc>
        <w:tc>
          <w:tcPr>
            <w:tcW w:type="dxa" w:w="750"/>
            <w:tcMar>
              <w:top w:w="80" w:type="dxa"/>
              <w:start w:w="120" w:type="dxa"/>
              <w:bottom w:w="80" w:type="dxa"/>
              <w:end w:w="120" w:type="dxa"/>
            </w:tcMar>
            <w:vAlign w:val="center"/>
          </w:tcPr>
          <w:p>
            <w:pPr>
              <w:pStyle w:val="TableText"/>
            </w:pPr>
            <w:r>
              <w:t>P1</w:t>
            </w:r>
          </w:p>
        </w:tc>
        <w:tc>
          <w:tcPr>
            <w:tcW w:type="dxa" w:w="5250"/>
            <w:tcMar>
              <w:top w:w="80" w:type="dxa"/>
              <w:start w:w="120" w:type="dxa"/>
              <w:bottom w:w="80" w:type="dxa"/>
              <w:end w:w="120" w:type="dxa"/>
            </w:tcMar>
            <w:vAlign w:val="center"/>
          </w:tcPr>
          <w:p>
            <w:pPr>
              <w:pStyle w:val="TableText"/>
            </w:pPr>
            <w:r>
              <w:t>Privacy-aware analytics and observability</w:t>
            </w:r>
          </w:p>
        </w:tc>
        <w:tc>
          <w:tcPr>
            <w:tcW w:type="dxa" w:w="2710"/>
            <w:tcMar>
              <w:top w:w="80" w:type="dxa"/>
              <w:start w:w="120" w:type="dxa"/>
              <w:bottom w:w="80" w:type="dxa"/>
              <w:end w:w="120" w:type="dxa"/>
            </w:tcMar>
            <w:vAlign w:val="center"/>
          </w:tcPr>
          <w:p>
            <w:pPr>
              <w:pStyle w:val="TableText"/>
            </w:pPr>
            <w:r>
              <w:t>Core Web Vitals; error/availability insight</w:t>
            </w:r>
          </w:p>
        </w:tc>
      </w:tr>
      <w:tr>
        <w:tc>
          <w:tcPr>
            <w:tcW w:type="dxa" w:w="650"/>
            <w:tcMar>
              <w:top w:w="80" w:type="dxa"/>
              <w:start w:w="120" w:type="dxa"/>
              <w:bottom w:w="80" w:type="dxa"/>
              <w:end w:w="120" w:type="dxa"/>
            </w:tcMar>
            <w:vAlign w:val="center"/>
          </w:tcPr>
          <w:p>
            <w:pPr>
              <w:pStyle w:val="TableText"/>
            </w:pPr>
            <w:r>
              <w:t>P-11</w:t>
            </w:r>
          </w:p>
        </w:tc>
        <w:tc>
          <w:tcPr>
            <w:tcW w:type="dxa" w:w="750"/>
            <w:tcMar>
              <w:top w:w="80" w:type="dxa"/>
              <w:start w:w="120" w:type="dxa"/>
              <w:bottom w:w="80" w:type="dxa"/>
              <w:end w:w="120" w:type="dxa"/>
            </w:tcMar>
            <w:vAlign w:val="center"/>
          </w:tcPr>
          <w:p>
            <w:pPr>
              <w:pStyle w:val="TableText"/>
            </w:pPr>
            <w:r>
              <w:t>P2</w:t>
            </w:r>
          </w:p>
        </w:tc>
        <w:tc>
          <w:tcPr>
            <w:tcW w:type="dxa" w:w="5250"/>
            <w:tcMar>
              <w:top w:w="80" w:type="dxa"/>
              <w:start w:w="120" w:type="dxa"/>
              <w:bottom w:w="80" w:type="dxa"/>
              <w:end w:w="120" w:type="dxa"/>
            </w:tcMar>
            <w:vAlign w:val="center"/>
          </w:tcPr>
          <w:p>
            <w:pPr>
              <w:pStyle w:val="TableText"/>
            </w:pPr>
            <w:r>
              <w:t>Content governance and clinical media workflow</w:t>
            </w:r>
          </w:p>
        </w:tc>
        <w:tc>
          <w:tcPr>
            <w:tcW w:type="dxa" w:w="2710"/>
            <w:tcMar>
              <w:top w:w="80" w:type="dxa"/>
              <w:start w:w="120" w:type="dxa"/>
              <w:bottom w:w="80" w:type="dxa"/>
              <w:end w:w="120" w:type="dxa"/>
            </w:tcMar>
            <w:vAlign w:val="center"/>
          </w:tcPr>
          <w:p>
            <w:pPr>
              <w:pStyle w:val="TableText"/>
            </w:pPr>
            <w:r>
              <w:t>Review SLA; provenance completeness</w:t>
            </w:r>
          </w:p>
        </w:tc>
      </w:tr>
      <w:tr>
        <w:tc>
          <w:tcPr>
            <w:tcW w:type="dxa" w:w="650"/>
            <w:tcMar>
              <w:top w:w="80" w:type="dxa"/>
              <w:start w:w="120" w:type="dxa"/>
              <w:bottom w:w="80" w:type="dxa"/>
              <w:end w:w="120" w:type="dxa"/>
            </w:tcMar>
            <w:vAlign w:val="center"/>
          </w:tcPr>
          <w:p>
            <w:pPr>
              <w:pStyle w:val="TableText"/>
            </w:pPr>
            <w:r>
              <w:t>P-12</w:t>
            </w:r>
          </w:p>
        </w:tc>
        <w:tc>
          <w:tcPr>
            <w:tcW w:type="dxa" w:w="750"/>
            <w:tcMar>
              <w:top w:w="80" w:type="dxa"/>
              <w:start w:w="120" w:type="dxa"/>
              <w:bottom w:w="80" w:type="dxa"/>
              <w:end w:w="120" w:type="dxa"/>
            </w:tcMar>
            <w:vAlign w:val="center"/>
          </w:tcPr>
          <w:p>
            <w:pPr>
              <w:pStyle w:val="TableText"/>
            </w:pPr>
            <w:r>
              <w:t>P2</w:t>
            </w:r>
          </w:p>
        </w:tc>
        <w:tc>
          <w:tcPr>
            <w:tcW w:type="dxa" w:w="5250"/>
            <w:tcMar>
              <w:top w:w="80" w:type="dxa"/>
              <w:start w:w="120" w:type="dxa"/>
              <w:bottom w:w="80" w:type="dxa"/>
              <w:end w:w="120" w:type="dxa"/>
            </w:tcMar>
            <w:vAlign w:val="center"/>
          </w:tcPr>
          <w:p>
            <w:pPr>
              <w:pStyle w:val="TableText"/>
            </w:pPr>
            <w:r>
              <w:t>Design-system and documentation alignment</w:t>
            </w:r>
          </w:p>
        </w:tc>
        <w:tc>
          <w:tcPr>
            <w:tcW w:type="dxa" w:w="2710"/>
            <w:tcMar>
              <w:top w:w="80" w:type="dxa"/>
              <w:start w:w="120" w:type="dxa"/>
              <w:bottom w:w="80" w:type="dxa"/>
              <w:end w:w="120" w:type="dxa"/>
            </w:tcMar>
            <w:vAlign w:val="center"/>
          </w:tcPr>
          <w:p>
            <w:pPr>
              <w:pStyle w:val="TableText"/>
            </w:pPr>
            <w:r>
              <w:t>Token/component consistency</w:t>
            </w:r>
          </w:p>
        </w:tc>
      </w:tr>
    </w:tbl>
    <w:p>
      <w:pPr>
        <w:spacing w:after="0"/>
      </w:pPr>
    </w:p>
    <w:p>
      <w:bookmarkStart w:id="4" w:name="section_4"/>
      <w:pPr>
        <w:pStyle w:val="Heading1"/>
      </w:pPr>
      <w:r>
        <w:t>Detailed recommendations</w:t>
      </w:r>
      <w:bookmarkEnd w:id="4"/>
    </w:p>
    <w:p>
      <w:bookmarkStart w:id="5" w:name="section_5"/>
      <w:pPr>
        <w:pStyle w:val="Heading2"/>
      </w:pPr>
      <w:r>
        <w:t>P-01  Deliver genuine trilingual localization</w:t>
      </w:r>
      <w:bookmarkEnd w:id="5"/>
    </w:p>
    <w:p>
      <w:r>
        <w:t>app/lib/dictionaries.ts defines empty Arabic and Sorani dictionaries, while most route and component copy is embedded directly in English. /ar and /ckb therefore announce an RTL language context but largely display English. For a healthcare education product, this can reduce comprehension and trust and creates inconsistent screen-reader pronunciation and search indexing.</w:t>
      </w:r>
    </w:p>
    <w:p>
      <w:pPr>
        <w:numPr>
          <w:ilvl w:val="0"/>
          <w:numId w:val="11"/>
        </w:numPr>
        <w:keepLines/>
        <w:spacing w:after="80"/>
      </w:pPr>
      <w:r>
        <w:t>Inventory every user-facing string: navigation, authentication, library filters, access messages, forms, errors, events, research, gallery controls, metadata, footer, emails, and empty/loading states.</w:t>
      </w:r>
    </w:p>
    <w:p>
      <w:pPr>
        <w:numPr>
          <w:ilvl w:val="0"/>
          <w:numId w:val="11"/>
        </w:numPr>
        <w:keepLines/>
        <w:spacing w:after="80"/>
      </w:pPr>
      <w:r>
        <w:t>Move copy to typed dictionaries with fallback reporting. A missing key should be visible in development/CI rather than silently falling back in production.</w:t>
      </w:r>
    </w:p>
    <w:p>
      <w:pPr>
        <w:numPr>
          <w:ilvl w:val="0"/>
          <w:numId w:val="11"/>
        </w:numPr>
        <w:keepLines/>
        <w:spacing w:after="80"/>
      </w:pPr>
      <w:r>
        <w:t>Use professional medical translation and regional review for Arabic and Sorani; create a glossary for surgical terms, anatomy, procedures, and organization names.</w:t>
      </w:r>
    </w:p>
    <w:p>
      <w:pPr>
        <w:numPr>
          <w:ilvl w:val="0"/>
          <w:numId w:val="11"/>
        </w:numPr>
        <w:keepLines/>
        <w:spacing w:after="80"/>
      </w:pPr>
      <w:r>
        <w:t>Localize dates, numbers, plural rules, punctuation, search normalization, sorting, form validation, and accessible labels. Decide explicitly whether admin remains English-only.</w:t>
      </w:r>
    </w:p>
    <w:p>
      <w:pPr>
        <w:numPr>
          <w:ilvl w:val="0"/>
          <w:numId w:val="11"/>
        </w:numPr>
        <w:keepLines/>
        <w:spacing w:after="80"/>
      </w:pPr>
      <w:r>
        <w:t>Test long strings and mixed-direction content; use logical CSS properties and isolate embedded LTR tokens such as emails, URLs, dates, and acronyms.</w:t>
      </w:r>
    </w:p>
    <w:p>
      <w:pPr>
        <w:pStyle w:val="Evidence"/>
      </w:pPr>
      <w:r>
        <w:t>app/lib/dictionaries.ts:89-92 - Arabic and Sorani dictionary objects are empty.</w:t>
      </w:r>
    </w:p>
    <w:p>
      <w:pPr>
        <w:pStyle w:val="Evidence"/>
      </w:pPr>
      <w:r>
        <w:t>app/[locale]/layout.tsx - lang/dir are set for locale routes; hard-coded English remains across components.</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3000"/>
        <w:gridCol w:w="6360"/>
      </w:tblGrid>
      <w:tr>
        <w:trPr>
          <w:tblHeader w:val="true"/>
        </w:trPr>
        <w:tc>
          <w:tcPr>
            <w:tcW w:type="dxa" w:w="3000"/>
            <w:shd w:fill="0F5E5A"/>
            <w:tcMar>
              <w:top w:w="80" w:type="dxa"/>
              <w:start w:w="120" w:type="dxa"/>
              <w:bottom w:w="80" w:type="dxa"/>
              <w:end w:w="120" w:type="dxa"/>
            </w:tcMar>
            <w:vAlign w:val="center"/>
          </w:tcPr>
          <w:p>
            <w:pPr>
              <w:pStyle w:val="TableText"/>
            </w:pPr>
            <w:r>
              <w:rPr>
                <w:b/>
                <w:color w:val="FFFFFF"/>
              </w:rPr>
              <w:t>Acceptance criterion</w:t>
            </w:r>
          </w:p>
        </w:tc>
        <w:tc>
          <w:tcPr>
            <w:tcW w:type="dxa" w:w="6360"/>
            <w:shd w:fill="0F5E5A"/>
            <w:tcMar>
              <w:top w:w="80" w:type="dxa"/>
              <w:start w:w="120" w:type="dxa"/>
              <w:bottom w:w="80" w:type="dxa"/>
              <w:end w:w="120" w:type="dxa"/>
            </w:tcMar>
            <w:vAlign w:val="center"/>
          </w:tcPr>
          <w:p>
            <w:pPr>
              <w:pStyle w:val="TableText"/>
            </w:pPr>
            <w:r>
              <w:rPr>
                <w:b/>
                <w:color w:val="FFFFFF"/>
              </w:rPr>
              <w:t>Target</w:t>
            </w:r>
          </w:p>
        </w:tc>
      </w:tr>
      <w:tr>
        <w:tc>
          <w:tcPr>
            <w:tcW w:type="dxa" w:w="3000"/>
            <w:shd w:fill="E7F1EF"/>
            <w:tcMar>
              <w:top w:w="80" w:type="dxa"/>
              <w:start w:w="120" w:type="dxa"/>
              <w:bottom w:w="80" w:type="dxa"/>
              <w:end w:w="120" w:type="dxa"/>
            </w:tcMar>
            <w:vAlign w:val="center"/>
          </w:tcPr>
          <w:p>
            <w:pPr>
              <w:pStyle w:val="TableText"/>
            </w:pPr>
            <w:r>
              <w:rPr>
                <w:b/>
              </w:rPr>
              <w:t>String coverage</w:t>
            </w:r>
          </w:p>
        </w:tc>
        <w:tc>
          <w:tcPr>
            <w:tcW w:type="dxa" w:w="6360"/>
            <w:tcMar>
              <w:top w:w="80" w:type="dxa"/>
              <w:start w:w="120" w:type="dxa"/>
              <w:bottom w:w="80" w:type="dxa"/>
              <w:end w:w="120" w:type="dxa"/>
            </w:tcMar>
            <w:vAlign w:val="center"/>
          </w:tcPr>
          <w:p>
            <w:pPr>
              <w:pStyle w:val="TableText"/>
            </w:pPr>
            <w:r>
              <w:t>100% of customer-facing keys translated; fallback count zero in production.</w:t>
            </w:r>
          </w:p>
        </w:tc>
      </w:tr>
      <w:tr>
        <w:tc>
          <w:tcPr>
            <w:tcW w:type="dxa" w:w="3000"/>
            <w:shd w:fill="E7F1EF"/>
            <w:tcMar>
              <w:top w:w="80" w:type="dxa"/>
              <w:start w:w="120" w:type="dxa"/>
              <w:bottom w:w="80" w:type="dxa"/>
              <w:end w:w="120" w:type="dxa"/>
            </w:tcMar>
            <w:vAlign w:val="center"/>
          </w:tcPr>
          <w:p>
            <w:pPr>
              <w:pStyle w:val="TableText"/>
            </w:pPr>
            <w:r>
              <w:rPr>
                <w:b/>
              </w:rPr>
              <w:t>Directionality</w:t>
            </w:r>
          </w:p>
        </w:tc>
        <w:tc>
          <w:tcPr>
            <w:tcW w:type="dxa" w:w="6360"/>
            <w:tcMar>
              <w:top w:w="80" w:type="dxa"/>
              <w:start w:w="120" w:type="dxa"/>
              <w:bottom w:w="80" w:type="dxa"/>
              <w:end w:w="120" w:type="dxa"/>
            </w:tcMar>
            <w:vAlign w:val="center"/>
          </w:tcPr>
          <w:p>
            <w:pPr>
              <w:pStyle w:val="TableText"/>
            </w:pPr>
            <w:r>
              <w:t>No overflow/order/focus defects at 320 px and desktop in ar/ckb.</w:t>
            </w:r>
          </w:p>
        </w:tc>
      </w:tr>
      <w:tr>
        <w:tc>
          <w:tcPr>
            <w:tcW w:type="dxa" w:w="3000"/>
            <w:shd w:fill="E7F1EF"/>
            <w:tcMar>
              <w:top w:w="80" w:type="dxa"/>
              <w:start w:w="120" w:type="dxa"/>
              <w:bottom w:w="80" w:type="dxa"/>
              <w:end w:w="120" w:type="dxa"/>
            </w:tcMar>
            <w:vAlign w:val="center"/>
          </w:tcPr>
          <w:p>
            <w:pPr>
              <w:pStyle w:val="TableText"/>
            </w:pPr>
            <w:r>
              <w:rPr>
                <w:b/>
              </w:rPr>
              <w:t>Clinical review</w:t>
            </w:r>
          </w:p>
        </w:tc>
        <w:tc>
          <w:tcPr>
            <w:tcW w:type="dxa" w:w="6360"/>
            <w:tcMar>
              <w:top w:w="80" w:type="dxa"/>
              <w:start w:w="120" w:type="dxa"/>
              <w:bottom w:w="80" w:type="dxa"/>
              <w:end w:w="120" w:type="dxa"/>
            </w:tcMar>
            <w:vAlign w:val="center"/>
          </w:tcPr>
          <w:p>
            <w:pPr>
              <w:pStyle w:val="TableText"/>
            </w:pPr>
            <w:r>
              <w:t>Named reviewer approves terminology glossary and high-risk content.</w:t>
            </w:r>
          </w:p>
        </w:tc>
      </w:tr>
      <w:tr>
        <w:tc>
          <w:tcPr>
            <w:tcW w:type="dxa" w:w="3000"/>
            <w:shd w:fill="E7F1EF"/>
            <w:tcMar>
              <w:top w:w="80" w:type="dxa"/>
              <w:start w:w="120" w:type="dxa"/>
              <w:bottom w:w="80" w:type="dxa"/>
              <w:end w:w="120" w:type="dxa"/>
            </w:tcMar>
            <w:vAlign w:val="center"/>
          </w:tcPr>
          <w:p>
            <w:pPr>
              <w:pStyle w:val="TableText"/>
            </w:pPr>
            <w:r>
              <w:rPr>
                <w:b/>
              </w:rPr>
              <w:t>Accessibility</w:t>
            </w:r>
          </w:p>
        </w:tc>
        <w:tc>
          <w:tcPr>
            <w:tcW w:type="dxa" w:w="6360"/>
            <w:tcMar>
              <w:top w:w="80" w:type="dxa"/>
              <w:start w:w="120" w:type="dxa"/>
              <w:bottom w:w="80" w:type="dxa"/>
              <w:end w:w="120" w:type="dxa"/>
            </w:tcMar>
            <w:vAlign w:val="center"/>
          </w:tcPr>
          <w:p>
            <w:pPr>
              <w:pStyle w:val="TableText"/>
            </w:pPr>
            <w:r>
              <w:t>Screen-reader language changes and mixed-direction fields are correct.</w:t>
            </w:r>
          </w:p>
        </w:tc>
      </w:tr>
    </w:tbl>
    <w:p>
      <w:pPr>
        <w:spacing w:after="0"/>
      </w:pPr>
    </w:p>
    <w:p>
      <w:bookmarkStart w:id="6" w:name="section_6"/>
      <w:pPr>
        <w:pStyle w:val="Heading2"/>
      </w:pPr>
      <w:r>
        <w:t>P-02  Add trust, privacy, and clinical-use information</w:t>
      </w:r>
      <w:bookmarkEnd w:id="6"/>
    </w:p>
    <w:p>
      <w:r>
        <w:t>The footer's privacy and terms links both point to the home page, and a placeholder contact address is displayed. The product has accounts, saved content, clinical imagery, and educational material, so transparent policies are a core product requirement, not decorative footer copy.</w:t>
      </w:r>
    </w:p>
    <w:p>
      <w:pPr>
        <w:numPr>
          <w:ilvl w:val="0"/>
          <w:numId w:val="12"/>
        </w:numPr>
        <w:keepLines/>
        <w:spacing w:after="80"/>
      </w:pPr>
      <w:r>
        <w:t>Publish separate Privacy Policy and Terms of Use routes and link them correctly in every locale.</w:t>
      </w:r>
    </w:p>
    <w:p>
      <w:pPr>
        <w:numPr>
          <w:ilvl w:val="0"/>
          <w:numId w:val="12"/>
        </w:numPr>
        <w:keepLines/>
        <w:spacing w:after="80"/>
      </w:pPr>
      <w:r>
        <w:t>Add a clinical education disclaimer: educational scope, not a substitute for professional judgement or emergency care, content review date, and how to report an error.</w:t>
      </w:r>
    </w:p>
    <w:p>
      <w:pPr>
        <w:numPr>
          <w:ilvl w:val="0"/>
          <w:numId w:val="12"/>
        </w:numPr>
        <w:keepLines/>
        <w:spacing w:after="80"/>
      </w:pPr>
      <w:r>
        <w:t>Document cookies/analytics, account data, saved items, retention/deletion, cross-border processing, clinical-image consent/licensing, and contact procedures with legal review appropriate to operating jurisdictions.</w:t>
      </w:r>
    </w:p>
    <w:p>
      <w:pPr>
        <w:numPr>
          <w:ilvl w:val="0"/>
          <w:numId w:val="12"/>
        </w:numPr>
        <w:keepLines/>
        <w:spacing w:after="80"/>
      </w:pPr>
      <w:r>
        <w:t>Replace the placeholder email with a verified monitored channel, or remove it until operational ownership is confirmed.</w:t>
      </w:r>
    </w:p>
    <w:p>
      <w:pPr>
        <w:numPr>
          <w:ilvl w:val="0"/>
          <w:numId w:val="12"/>
        </w:numPr>
        <w:keepLines/>
        <w:spacing w:after="80"/>
      </w:pPr>
      <w:r>
        <w:t>Show policy version/date and collect renewed consent only when the legal basis and material change require it.</w:t>
      </w:r>
    </w:p>
    <w:p>
      <w:pPr>
        <w:pStyle w:val="Evidence"/>
      </w:pPr>
      <w:r>
        <w:t>app/components/SiteFooter.tsx:13-16 - placeholder contact-email comment/value.</w:t>
      </w:r>
    </w:p>
    <w:p>
      <w:pPr>
        <w:pStyle w:val="Evidence"/>
      </w:pPr>
      <w:r>
        <w:t>app/components/SiteFooter.tsx:80-82 - Privacy and Terms destinations resolve to the home route.</w:t>
      </w:r>
    </w:p>
    <w:p>
      <w:bookmarkStart w:id="7" w:name="section_7"/>
      <w:pPr>
        <w:pStyle w:val="Heading2"/>
      </w:pPr>
      <w:r>
        <w:t>P-03  Build a responsive media pipeline</w:t>
      </w:r>
      <w:bookmarkEnd w:id="7"/>
    </w:p>
    <w:p>
      <w:r>
        <w:t>The tree contains many 1.5-3.1 MB PNG files, and lint identifies numerous raw img elements. Lazy loading helps defer requests but does not resize images, provide srcset/sizes, negotiate AVIF/WebP, or guarantee intrinsic dimensions. This is the highest-leverage speed and bandwidth improvement, especially on mobile networks.</w:t>
      </w:r>
    </w:p>
    <w:p>
      <w:pPr>
        <w:numPr>
          <w:ilvl w:val="0"/>
          <w:numId w:val="13"/>
        </w:numPr>
        <w:keepLines/>
        <w:spacing w:after="80"/>
      </w:pPr>
      <w:r>
        <w:t>Adopt the supported Next/Vinext image component or Cloudflare Images/transformations for responsive variants. Define explicit width/height or aspect-ratio boxes to prevent layout shift.</w:t>
      </w:r>
    </w:p>
    <w:p>
      <w:pPr>
        <w:numPr>
          <w:ilvl w:val="0"/>
          <w:numId w:val="13"/>
        </w:numPr>
        <w:keepLines/>
        <w:spacing w:after="80"/>
      </w:pPr>
      <w:r>
        <w:t>Generate AVIF/WebP plus an appropriate fallback, use sizes matched to real breakpoints, and avoid serving a multi-megabyte source to a 320 px card.</w:t>
      </w:r>
    </w:p>
    <w:p>
      <w:pPr>
        <w:numPr>
          <w:ilvl w:val="0"/>
          <w:numId w:val="13"/>
        </w:numPr>
        <w:keepLines/>
        <w:spacing w:after="80"/>
      </w:pPr>
      <w:r>
        <w:t>Keep anatomy zoom assets high-resolution only where the interaction needs them; provide a small preview and load the detailed tile/variant on demand.</w:t>
      </w:r>
    </w:p>
    <w:p>
      <w:pPr>
        <w:numPr>
          <w:ilvl w:val="0"/>
          <w:numId w:val="13"/>
        </w:numPr>
        <w:keepLines/>
        <w:spacing w:after="80"/>
      </w:pPr>
      <w:r>
        <w:t>Preload only the verified LCP image and critical fonts. Lazy-load below-fold images, galleries, and admin-only editors. Add route-level asset budgets.</w:t>
      </w:r>
    </w:p>
    <w:p>
      <w:pPr>
        <w:numPr>
          <w:ilvl w:val="0"/>
          <w:numId w:val="13"/>
        </w:numPr>
        <w:keepLines/>
        <w:spacing w:after="80"/>
      </w:pPr>
      <w:r>
        <w:t>Require meaningful alt text in the content model for informative clinical images. Use empty alt only when the surrounding text fully replaces the image's function.</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3000"/>
        <w:gridCol w:w="6360"/>
      </w:tblGrid>
      <w:tr>
        <w:trPr>
          <w:tblHeader w:val="true"/>
        </w:trPr>
        <w:tc>
          <w:tcPr>
            <w:tcW w:type="dxa" w:w="3000"/>
            <w:shd w:fill="0F5E5A"/>
            <w:tcMar>
              <w:top w:w="80" w:type="dxa"/>
              <w:start w:w="120" w:type="dxa"/>
              <w:bottom w:w="80" w:type="dxa"/>
              <w:end w:w="120" w:type="dxa"/>
            </w:tcMar>
            <w:vAlign w:val="center"/>
          </w:tcPr>
          <w:p>
            <w:pPr>
              <w:pStyle w:val="TableText"/>
            </w:pPr>
            <w:r>
              <w:rPr>
                <w:b/>
                <w:color w:val="FFFFFF"/>
              </w:rPr>
              <w:t>Budget</w:t>
            </w:r>
          </w:p>
        </w:tc>
        <w:tc>
          <w:tcPr>
            <w:tcW w:type="dxa" w:w="6360"/>
            <w:shd w:fill="0F5E5A"/>
            <w:tcMar>
              <w:top w:w="80" w:type="dxa"/>
              <w:start w:w="120" w:type="dxa"/>
              <w:bottom w:w="80" w:type="dxa"/>
              <w:end w:w="120" w:type="dxa"/>
            </w:tcMar>
            <w:vAlign w:val="center"/>
          </w:tcPr>
          <w:p>
            <w:pPr>
              <w:pStyle w:val="TableText"/>
            </w:pPr>
            <w:r>
              <w:rPr>
                <w:b/>
                <w:color w:val="FFFFFF"/>
              </w:rPr>
              <w:t>Suggested initial target</w:t>
            </w:r>
          </w:p>
        </w:tc>
      </w:tr>
      <w:tr>
        <w:tc>
          <w:tcPr>
            <w:tcW w:type="dxa" w:w="3000"/>
            <w:shd w:fill="E7F1EF"/>
            <w:tcMar>
              <w:top w:w="80" w:type="dxa"/>
              <w:start w:w="120" w:type="dxa"/>
              <w:bottom w:w="80" w:type="dxa"/>
              <w:end w:w="120" w:type="dxa"/>
            </w:tcMar>
            <w:vAlign w:val="center"/>
          </w:tcPr>
          <w:p>
            <w:pPr>
              <w:pStyle w:val="TableText"/>
            </w:pPr>
            <w:r>
              <w:rPr>
                <w:b/>
              </w:rPr>
              <w:t>Public route initial JS</w:t>
            </w:r>
          </w:p>
        </w:tc>
        <w:tc>
          <w:tcPr>
            <w:tcW w:type="dxa" w:w="6360"/>
            <w:tcMar>
              <w:top w:w="80" w:type="dxa"/>
              <w:start w:w="120" w:type="dxa"/>
              <w:bottom w:w="80" w:type="dxa"/>
              <w:end w:w="120" w:type="dxa"/>
            </w:tcMar>
            <w:vAlign w:val="center"/>
          </w:tcPr>
          <w:p>
            <w:pPr>
              <w:pStyle w:val="TableText"/>
            </w:pPr>
            <w:r>
              <w:t>Measure baseline; then cap per route and ratchet downward.</w:t>
            </w:r>
          </w:p>
        </w:tc>
      </w:tr>
      <w:tr>
        <w:tc>
          <w:tcPr>
            <w:tcW w:type="dxa" w:w="3000"/>
            <w:shd w:fill="E7F1EF"/>
            <w:tcMar>
              <w:top w:w="80" w:type="dxa"/>
              <w:start w:w="120" w:type="dxa"/>
              <w:bottom w:w="80" w:type="dxa"/>
              <w:end w:w="120" w:type="dxa"/>
            </w:tcMar>
            <w:vAlign w:val="center"/>
          </w:tcPr>
          <w:p>
            <w:pPr>
              <w:pStyle w:val="TableText"/>
            </w:pPr>
            <w:r>
              <w:rPr>
                <w:b/>
              </w:rPr>
              <w:t>Above-fold image</w:t>
            </w:r>
          </w:p>
        </w:tc>
        <w:tc>
          <w:tcPr>
            <w:tcW w:type="dxa" w:w="6360"/>
            <w:tcMar>
              <w:top w:w="80" w:type="dxa"/>
              <w:start w:w="120" w:type="dxa"/>
              <w:bottom w:w="80" w:type="dxa"/>
              <w:end w:w="120" w:type="dxa"/>
            </w:tcMar>
            <w:vAlign w:val="center"/>
          </w:tcPr>
          <w:p>
            <w:pPr>
              <w:pStyle w:val="TableText"/>
            </w:pPr>
            <w:r>
              <w:t>Responsive asset close to rendered size; avoid multi-megabyte originals.</w:t>
            </w:r>
          </w:p>
        </w:tc>
      </w:tr>
      <w:tr>
        <w:tc>
          <w:tcPr>
            <w:tcW w:type="dxa" w:w="3000"/>
            <w:shd w:fill="E7F1EF"/>
            <w:tcMar>
              <w:top w:w="80" w:type="dxa"/>
              <w:start w:w="120" w:type="dxa"/>
              <w:bottom w:w="80" w:type="dxa"/>
              <w:end w:w="120" w:type="dxa"/>
            </w:tcMar>
            <w:vAlign w:val="center"/>
          </w:tcPr>
          <w:p>
            <w:pPr>
              <w:pStyle w:val="TableText"/>
            </w:pPr>
            <w:r>
              <w:rPr>
                <w:b/>
              </w:rPr>
              <w:t>Layout shift</w:t>
            </w:r>
          </w:p>
        </w:tc>
        <w:tc>
          <w:tcPr>
            <w:tcW w:type="dxa" w:w="6360"/>
            <w:tcMar>
              <w:top w:w="80" w:type="dxa"/>
              <w:start w:w="120" w:type="dxa"/>
              <w:bottom w:w="80" w:type="dxa"/>
              <w:end w:w="120" w:type="dxa"/>
            </w:tcMar>
            <w:vAlign w:val="center"/>
          </w:tcPr>
          <w:p>
            <w:pPr>
              <w:pStyle w:val="TableText"/>
            </w:pPr>
            <w:r>
              <w:t>CLS &lt;= 0.10 at p75.</w:t>
            </w:r>
          </w:p>
        </w:tc>
      </w:tr>
      <w:tr>
        <w:tc>
          <w:tcPr>
            <w:tcW w:type="dxa" w:w="3000"/>
            <w:shd w:fill="E7F1EF"/>
            <w:tcMar>
              <w:top w:w="80" w:type="dxa"/>
              <w:start w:w="120" w:type="dxa"/>
              <w:bottom w:w="80" w:type="dxa"/>
              <w:end w:w="120" w:type="dxa"/>
            </w:tcMar>
            <w:vAlign w:val="center"/>
          </w:tcPr>
          <w:p>
            <w:pPr>
              <w:pStyle w:val="TableText"/>
            </w:pPr>
            <w:r>
              <w:rPr>
                <w:b/>
              </w:rPr>
              <w:t>Loading</w:t>
            </w:r>
          </w:p>
        </w:tc>
        <w:tc>
          <w:tcPr>
            <w:tcW w:type="dxa" w:w="6360"/>
            <w:tcMar>
              <w:top w:w="80" w:type="dxa"/>
              <w:start w:w="120" w:type="dxa"/>
              <w:bottom w:w="80" w:type="dxa"/>
              <w:end w:w="120" w:type="dxa"/>
            </w:tcMar>
            <w:vAlign w:val="center"/>
          </w:tcPr>
          <w:p>
            <w:pPr>
              <w:pStyle w:val="TableText"/>
            </w:pPr>
            <w:r>
              <w:t>LCP &lt;= 2.5 s at p75 on representative mobile traffic.</w:t>
            </w:r>
          </w:p>
        </w:tc>
      </w:tr>
      <w:tr>
        <w:tc>
          <w:tcPr>
            <w:tcW w:type="dxa" w:w="3000"/>
            <w:shd w:fill="E7F1EF"/>
            <w:tcMar>
              <w:top w:w="80" w:type="dxa"/>
              <w:start w:w="120" w:type="dxa"/>
              <w:bottom w:w="80" w:type="dxa"/>
              <w:end w:w="120" w:type="dxa"/>
            </w:tcMar>
            <w:vAlign w:val="center"/>
          </w:tcPr>
          <w:p>
            <w:pPr>
              <w:pStyle w:val="TableText"/>
            </w:pPr>
            <w:r>
              <w:rPr>
                <w:b/>
              </w:rPr>
              <w:t>Interactivity</w:t>
            </w:r>
          </w:p>
        </w:tc>
        <w:tc>
          <w:tcPr>
            <w:tcW w:type="dxa" w:w="6360"/>
            <w:tcMar>
              <w:top w:w="80" w:type="dxa"/>
              <w:start w:w="120" w:type="dxa"/>
              <w:bottom w:w="80" w:type="dxa"/>
              <w:end w:w="120" w:type="dxa"/>
            </w:tcMar>
            <w:vAlign w:val="center"/>
          </w:tcPr>
          <w:p>
            <w:pPr>
              <w:pStyle w:val="TableText"/>
            </w:pPr>
            <w:r>
              <w:t>INP &lt;= 200 ms at p75.</w:t>
            </w:r>
          </w:p>
        </w:tc>
      </w:tr>
    </w:tbl>
    <w:p>
      <w:pPr>
        <w:spacing w:after="0"/>
      </w:pPr>
    </w:p>
    <w:p>
      <w:bookmarkStart w:id="8" w:name="section_8"/>
      <w:pPr>
        <w:pStyle w:val="Heading2"/>
      </w:pPr>
      <w:r>
        <w:t>P-04  Repair SEO and locale discovery</w:t>
      </w:r>
      <w:bookmarkEnd w:id="8"/>
    </w:p>
    <w:p>
      <w:r>
        <w:t>The locale layout constructs the metadata base from forwarded/host headers and supplies a locale-root canonical. Nested pages can inherit a home canonical unless they override it. No sitemap.ts, robots.ts, or manifest was found. This can fragment indexing, misstate canonical ownership, and weaken multilingual discovery.</w:t>
      </w:r>
    </w:p>
    <w:p>
      <w:pPr>
        <w:numPr>
          <w:ilvl w:val="0"/>
          <w:numId w:val="14"/>
        </w:numPr>
        <w:keepLines/>
        <w:spacing w:after="80"/>
      </w:pPr>
      <w:r>
        <w:t>Set a canonical SITE_URL in deployment configuration and validate trusted hosts; do not derive the public origin from arbitrary request headers.</w:t>
      </w:r>
    </w:p>
    <w:p>
      <w:pPr>
        <w:numPr>
          <w:ilvl w:val="0"/>
          <w:numId w:val="14"/>
        </w:numPr>
        <w:keepLines/>
        <w:spacing w:after="80"/>
      </w:pPr>
      <w:r>
        <w:t>Generate page-specific canonical URLs for every content, topic, event, research, account, and policy page. Do not canonicalize nested pages to the locale home.</w:t>
      </w:r>
    </w:p>
    <w:p>
      <w:pPr>
        <w:numPr>
          <w:ilvl w:val="0"/>
          <w:numId w:val="14"/>
        </w:numPr>
        <w:keepLines/>
        <w:spacing w:after="80"/>
      </w:pPr>
      <w:r>
        <w:t>Add reciprocal hreflang alternates for en, ar, ckb, and x-default where content is genuinely translated. Avoid advertising alternates that only display fallback English.</w:t>
      </w:r>
    </w:p>
    <w:p>
      <w:pPr>
        <w:numPr>
          <w:ilvl w:val="0"/>
          <w:numId w:val="14"/>
        </w:numPr>
        <w:keepLines/>
        <w:spacing w:after="80"/>
      </w:pPr>
      <w:r>
        <w:t>Create sitemap.ts, robots.ts, a web manifest, and per-content Open Graph/Twitter metadata with optimized images.</w:t>
      </w:r>
    </w:p>
    <w:p>
      <w:pPr>
        <w:numPr>
          <w:ilvl w:val="0"/>
          <w:numId w:val="14"/>
        </w:numPr>
        <w:keepLines/>
        <w:spacing w:after="80"/>
      </w:pPr>
      <w:r>
        <w:t>Add structured data where accurate: Organization, WebSite, BreadcrumbList, Event, Article/ScholarlyArticle. Never use medical schema claims the content does not support.</w:t>
      </w:r>
    </w:p>
    <w:p>
      <w:pPr>
        <w:pStyle w:val="Evidence"/>
      </w:pPr>
      <w:r>
        <w:t>app/[locale]/layout.tsx:60-74 - metadata origin uses forwarded/host context and locale-root canonical behavior.</w:t>
      </w:r>
    </w:p>
    <w:p>
      <w:pPr>
        <w:pStyle w:val="Evidence"/>
      </w:pPr>
      <w:r>
        <w:t>Repository inventory - no sitemap.ts, robots.ts, or manifest found.</w:t>
      </w:r>
    </w:p>
    <w:p>
      <w:bookmarkStart w:id="9" w:name="section_9"/>
      <w:pPr>
        <w:pStyle w:val="Heading2"/>
      </w:pPr>
      <w:r>
        <w:t>P-05  Close interaction and accessibility gaps</w:t>
      </w:r>
      <w:bookmarkEnd w:id="9"/>
    </w:p>
    <w:p>
      <w:r>
        <w:t>The accessibility foundation is better than average, but the remaining work is concentrated in high-value interactive patterns. Automated checks should be paired with manual keyboard, screen-reader, zoom, contrast, and RTL testing.</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2450"/>
        <w:gridCol w:w="6910"/>
      </w:tblGrid>
      <w:tr>
        <w:trPr>
          <w:tblHeader w:val="true"/>
        </w:trPr>
        <w:tc>
          <w:tcPr>
            <w:tcW w:type="dxa" w:w="2450"/>
            <w:shd w:fill="0F5E5A"/>
            <w:tcMar>
              <w:top w:w="80" w:type="dxa"/>
              <w:start w:w="120" w:type="dxa"/>
              <w:bottom w:w="80" w:type="dxa"/>
              <w:end w:w="120" w:type="dxa"/>
            </w:tcMar>
            <w:vAlign w:val="center"/>
          </w:tcPr>
          <w:p>
            <w:pPr>
              <w:pStyle w:val="TableText"/>
            </w:pPr>
            <w:r>
              <w:rPr>
                <w:b/>
                <w:color w:val="FFFFFF"/>
              </w:rPr>
              <w:t>Area</w:t>
            </w:r>
          </w:p>
        </w:tc>
        <w:tc>
          <w:tcPr>
            <w:tcW w:type="dxa" w:w="6910"/>
            <w:shd w:fill="0F5E5A"/>
            <w:tcMar>
              <w:top w:w="80" w:type="dxa"/>
              <w:start w:w="120" w:type="dxa"/>
              <w:bottom w:w="80" w:type="dxa"/>
              <w:end w:w="120" w:type="dxa"/>
            </w:tcMar>
            <w:vAlign w:val="center"/>
          </w:tcPr>
          <w:p>
            <w:pPr>
              <w:pStyle w:val="TableText"/>
            </w:pPr>
            <w:r>
              <w:rPr>
                <w:b/>
                <w:color w:val="FFFFFF"/>
              </w:rPr>
              <w:t>Review / enhancement</w:t>
            </w:r>
          </w:p>
        </w:tc>
      </w:tr>
      <w:tr>
        <w:tc>
          <w:tcPr>
            <w:tcW w:type="dxa" w:w="2450"/>
            <w:shd w:fill="E7F1EF"/>
            <w:tcMar>
              <w:top w:w="80" w:type="dxa"/>
              <w:start w:w="120" w:type="dxa"/>
              <w:bottom w:w="80" w:type="dxa"/>
              <w:end w:w="120" w:type="dxa"/>
            </w:tcMar>
            <w:vAlign w:val="center"/>
          </w:tcPr>
          <w:p>
            <w:pPr>
              <w:pStyle w:val="TableText"/>
            </w:pPr>
            <w:r>
              <w:rPr>
                <w:b/>
              </w:rPr>
              <w:t>Mobile navigation</w:t>
            </w:r>
          </w:p>
        </w:tc>
        <w:tc>
          <w:tcPr>
            <w:tcW w:type="dxa" w:w="6910"/>
            <w:tcMar>
              <w:top w:w="80" w:type="dxa"/>
              <w:start w:w="120" w:type="dxa"/>
              <w:bottom w:w="80" w:type="dxa"/>
              <w:end w:w="120" w:type="dxa"/>
            </w:tcMar>
            <w:vAlign w:val="center"/>
          </w:tcPr>
          <w:p>
            <w:pPr>
              <w:pStyle w:val="TableText"/>
            </w:pPr>
            <w:r>
              <w:t>Trap focus while open, move focus to the panel, return it to the trigger on close, support Escape, and prevent hidden links from remaining focusable.</w:t>
            </w:r>
          </w:p>
        </w:tc>
      </w:tr>
      <w:tr>
        <w:tc>
          <w:tcPr>
            <w:tcW w:type="dxa" w:w="2450"/>
            <w:shd w:fill="E7F1EF"/>
            <w:tcMar>
              <w:top w:w="80" w:type="dxa"/>
              <w:start w:w="120" w:type="dxa"/>
              <w:bottom w:w="80" w:type="dxa"/>
              <w:end w:w="120" w:type="dxa"/>
            </w:tcMar>
            <w:vAlign w:val="center"/>
          </w:tcPr>
          <w:p>
            <w:pPr>
              <w:pStyle w:val="TableText"/>
            </w:pPr>
            <w:r>
              <w:rPr>
                <w:b/>
              </w:rPr>
              <w:t>Gallery/dialogs</w:t>
            </w:r>
          </w:p>
        </w:tc>
        <w:tc>
          <w:tcPr>
            <w:tcW w:type="dxa" w:w="6910"/>
            <w:tcMar>
              <w:top w:w="80" w:type="dxa"/>
              <w:start w:w="120" w:type="dxa"/>
              <w:bottom w:w="80" w:type="dxa"/>
              <w:end w:w="120" w:type="dxa"/>
            </w:tcMar>
            <w:vAlign w:val="center"/>
          </w:tcPr>
          <w:p>
            <w:pPr>
              <w:pStyle w:val="TableText"/>
            </w:pPr>
            <w:r>
              <w:t>Verify initial focus, focus trap, Escape, return focus, background inertness, image announcement, and thumbnail selected state.</w:t>
            </w:r>
          </w:p>
        </w:tc>
      </w:tr>
      <w:tr>
        <w:tc>
          <w:tcPr>
            <w:tcW w:type="dxa" w:w="2450"/>
            <w:shd w:fill="E7F1EF"/>
            <w:tcMar>
              <w:top w:w="80" w:type="dxa"/>
              <w:start w:w="120" w:type="dxa"/>
              <w:bottom w:w="80" w:type="dxa"/>
              <w:end w:w="120" w:type="dxa"/>
            </w:tcMar>
            <w:vAlign w:val="center"/>
          </w:tcPr>
          <w:p>
            <w:pPr>
              <w:pStyle w:val="TableText"/>
            </w:pPr>
            <w:r>
              <w:rPr>
                <w:b/>
              </w:rPr>
              <w:t>Theme toggle</w:t>
            </w:r>
          </w:p>
        </w:tc>
        <w:tc>
          <w:tcPr>
            <w:tcW w:type="dxa" w:w="6910"/>
            <w:tcMar>
              <w:top w:w="80" w:type="dxa"/>
              <w:start w:w="120" w:type="dxa"/>
              <w:bottom w:w="80" w:type="dxa"/>
              <w:end w:w="120" w:type="dxa"/>
            </w:tcMar>
            <w:vAlign w:val="center"/>
          </w:tcPr>
          <w:p>
            <w:pPr>
              <w:pStyle w:val="TableText"/>
            </w:pPr>
            <w:r>
              <w:t>Expose current/next state with aria-pressed or a precise label; verify contrast in both themes.</w:t>
            </w:r>
          </w:p>
        </w:tc>
      </w:tr>
      <w:tr>
        <w:tc>
          <w:tcPr>
            <w:tcW w:type="dxa" w:w="2450"/>
            <w:shd w:fill="E7F1EF"/>
            <w:tcMar>
              <w:top w:w="80" w:type="dxa"/>
              <w:start w:w="120" w:type="dxa"/>
              <w:bottom w:w="80" w:type="dxa"/>
              <w:end w:w="120" w:type="dxa"/>
            </w:tcMar>
            <w:vAlign w:val="center"/>
          </w:tcPr>
          <w:p>
            <w:pPr>
              <w:pStyle w:val="TableText"/>
            </w:pPr>
            <w:r>
              <w:rPr>
                <w:b/>
              </w:rPr>
              <w:t>Forms</w:t>
            </w:r>
          </w:p>
        </w:tc>
        <w:tc>
          <w:tcPr>
            <w:tcW w:type="dxa" w:w="6910"/>
            <w:tcMar>
              <w:top w:w="80" w:type="dxa"/>
              <w:start w:w="120" w:type="dxa"/>
              <w:bottom w:w="80" w:type="dxa"/>
              <w:end w:w="120" w:type="dxa"/>
            </w:tcMar>
            <w:vAlign w:val="center"/>
          </w:tcPr>
          <w:p>
            <w:pPr>
              <w:pStyle w:val="TableText"/>
            </w:pPr>
            <w:r>
              <w:t>Retain labels; add on-blur/inline errors, error summary/focus, autocomplete tokens, password guidance, and persistent input after server errors.</w:t>
            </w:r>
          </w:p>
        </w:tc>
      </w:tr>
      <w:tr>
        <w:tc>
          <w:tcPr>
            <w:tcW w:type="dxa" w:w="2450"/>
            <w:shd w:fill="E7F1EF"/>
            <w:tcMar>
              <w:top w:w="80" w:type="dxa"/>
              <w:start w:w="120" w:type="dxa"/>
              <w:bottom w:w="80" w:type="dxa"/>
              <w:end w:w="120" w:type="dxa"/>
            </w:tcMar>
            <w:vAlign w:val="center"/>
          </w:tcPr>
          <w:p>
            <w:pPr>
              <w:pStyle w:val="TableText"/>
            </w:pPr>
            <w:r>
              <w:rPr>
                <w:b/>
              </w:rPr>
              <w:t>Rich-text editor</w:t>
            </w:r>
          </w:p>
        </w:tc>
        <w:tc>
          <w:tcPr>
            <w:tcW w:type="dxa" w:w="6910"/>
            <w:tcMar>
              <w:top w:w="80" w:type="dxa"/>
              <w:start w:w="120" w:type="dxa"/>
              <w:bottom w:w="80" w:type="dxa"/>
              <w:end w:w="120" w:type="dxa"/>
            </w:tcMar>
            <w:vAlign w:val="center"/>
          </w:tcPr>
          <w:p>
            <w:pPr>
              <w:pStyle w:val="TableText"/>
            </w:pPr>
            <w:r>
              <w:t>Replace document.execCommand workflow with a maintained accessible editor or constrained structured blocks; ensure toolbar roving focus and state announcement.</w:t>
            </w:r>
          </w:p>
        </w:tc>
      </w:tr>
      <w:tr>
        <w:tc>
          <w:tcPr>
            <w:tcW w:type="dxa" w:w="2450"/>
            <w:shd w:fill="E7F1EF"/>
            <w:tcMar>
              <w:top w:w="80" w:type="dxa"/>
              <w:start w:w="120" w:type="dxa"/>
              <w:bottom w:w="80" w:type="dxa"/>
              <w:end w:w="120" w:type="dxa"/>
            </w:tcMar>
            <w:vAlign w:val="center"/>
          </w:tcPr>
          <w:p>
            <w:pPr>
              <w:pStyle w:val="TableText"/>
            </w:pPr>
            <w:r>
              <w:rPr>
                <w:b/>
              </w:rPr>
              <w:t>Images</w:t>
            </w:r>
          </w:p>
        </w:tc>
        <w:tc>
          <w:tcPr>
            <w:tcW w:type="dxa" w:w="6910"/>
            <w:tcMar>
              <w:top w:w="80" w:type="dxa"/>
              <w:start w:w="120" w:type="dxa"/>
              <w:bottom w:w="80" w:type="dxa"/>
              <w:end w:w="120" w:type="dxa"/>
            </w:tcMar>
            <w:vAlign w:val="center"/>
          </w:tcPr>
          <w:p>
            <w:pPr>
              <w:pStyle w:val="TableText"/>
            </w:pPr>
            <w:r>
              <w:t>Require localized alt text for informative content; preserve decorative empty alt only by editorial rule.</w:t>
            </w:r>
          </w:p>
        </w:tc>
      </w:tr>
      <w:tr>
        <w:tc>
          <w:tcPr>
            <w:tcW w:type="dxa" w:w="2450"/>
            <w:shd w:fill="E7F1EF"/>
            <w:tcMar>
              <w:top w:w="80" w:type="dxa"/>
              <w:start w:w="120" w:type="dxa"/>
              <w:bottom w:w="80" w:type="dxa"/>
              <w:end w:w="120" w:type="dxa"/>
            </w:tcMar>
            <w:vAlign w:val="center"/>
          </w:tcPr>
          <w:p>
            <w:pPr>
              <w:pStyle w:val="TableText"/>
            </w:pPr>
            <w:r>
              <w:rPr>
                <w:b/>
              </w:rPr>
              <w:t>Responsive/zoom</w:t>
            </w:r>
          </w:p>
        </w:tc>
        <w:tc>
          <w:tcPr>
            <w:tcW w:type="dxa" w:w="6910"/>
            <w:tcMar>
              <w:top w:w="80" w:type="dxa"/>
              <w:start w:w="120" w:type="dxa"/>
              <w:bottom w:w="80" w:type="dxa"/>
              <w:end w:w="120" w:type="dxa"/>
            </w:tcMar>
            <w:vAlign w:val="center"/>
          </w:tcPr>
          <w:p>
            <w:pPr>
              <w:pStyle w:val="TableText"/>
            </w:pPr>
            <w:r>
              <w:t>Test 320 px width, 200% text resize, 400% zoom, landscape, and no horizontal scroll.</w:t>
            </w:r>
          </w:p>
        </w:tc>
      </w:tr>
      <w:tr>
        <w:tc>
          <w:tcPr>
            <w:tcW w:type="dxa" w:w="2450"/>
            <w:shd w:fill="E7F1EF"/>
            <w:tcMar>
              <w:top w:w="80" w:type="dxa"/>
              <w:start w:w="120" w:type="dxa"/>
              <w:bottom w:w="80" w:type="dxa"/>
              <w:end w:w="120" w:type="dxa"/>
            </w:tcMar>
            <w:vAlign w:val="center"/>
          </w:tcPr>
          <w:p>
            <w:pPr>
              <w:pStyle w:val="TableText"/>
            </w:pPr>
            <w:r>
              <w:rPr>
                <w:b/>
              </w:rPr>
              <w:t>Motion</w:t>
            </w:r>
          </w:p>
        </w:tc>
        <w:tc>
          <w:tcPr>
            <w:tcW w:type="dxa" w:w="6910"/>
            <w:tcMar>
              <w:top w:w="80" w:type="dxa"/>
              <w:start w:w="120" w:type="dxa"/>
              <w:bottom w:w="80" w:type="dxa"/>
              <w:end w:w="120" w:type="dxa"/>
            </w:tcMar>
            <w:vAlign w:val="center"/>
          </w:tcPr>
          <w:p>
            <w:pPr>
              <w:pStyle w:val="TableText"/>
            </w:pPr>
            <w:r>
              <w:t>Keep reduced-motion coverage and verify no essential state depends only on animation.</w:t>
            </w:r>
          </w:p>
        </w:tc>
      </w:tr>
    </w:tbl>
    <w:p>
      <w:pPr>
        <w:spacing w:after="0"/>
      </w:pPr>
    </w:p>
    <w:p>
      <w:pPr>
        <w:numPr>
          <w:ilvl w:val="0"/>
          <w:numId w:val="15"/>
        </w:numPr>
        <w:keepLines/>
        <w:spacing w:after="80"/>
      </w:pPr>
      <w:r>
        <w:t>Automate axe-core/Playwright checks on home, topics, library, content detail, events, research, sign-in/up, member state, and admin workflows in all supported directions.</w:t>
      </w:r>
    </w:p>
    <w:p>
      <w:pPr>
        <w:numPr>
          <w:ilvl w:val="0"/>
          <w:numId w:val="15"/>
        </w:numPr>
        <w:keepLines/>
        <w:spacing w:after="80"/>
      </w:pPr>
      <w:r>
        <w:t>Manually test with keyboard, NVDA or equivalent Windows screen reader, browser zoom, forced colors/high contrast, and reduced motion.</w:t>
      </w:r>
    </w:p>
    <w:p>
      <w:pPr>
        <w:numPr>
          <w:ilvl w:val="0"/>
          <w:numId w:val="15"/>
        </w:numPr>
        <w:keepLines/>
        <w:spacing w:after="80"/>
      </w:pPr>
      <w:r>
        <w:t>Set WCAG 2.2 AA as the release target and log exceptions with an owner, impact, workaround, and expiry date.</w:t>
      </w:r>
    </w:p>
    <w:p>
      <w:r>
        <w:br w:type="page"/>
      </w:r>
    </w:p>
    <w:p>
      <w:bookmarkStart w:id="10" w:name="section_10"/>
      <w:pPr>
        <w:pStyle w:val="Heading2"/>
      </w:pPr>
      <w:r>
        <w:t>P-06  Reduce account-creation friction</w:t>
      </w:r>
      <w:bookmarkEnd w:id="10"/>
    </w:p>
    <w:p>
      <w:r>
        <w:t>The sign-up flow asks for organization, job, city, and country during account creation. Unless these fields are essential to eligibility, moving them after account creation can reduce abandonment and improve data quality. Email confirmation should be enabled in production for trust and abuse resistance.</w:t>
      </w:r>
    </w:p>
    <w:p>
      <w:pPr>
        <w:numPr>
          <w:ilvl w:val="0"/>
          <w:numId w:val="16"/>
        </w:numPr>
        <w:keepLines/>
        <w:spacing w:after="80"/>
      </w:pPr>
      <w:r>
        <w:t>Make the first step minimal: email, password/passkey choice, required consent, and a clear value statement.</w:t>
      </w:r>
    </w:p>
    <w:p>
      <w:pPr>
        <w:numPr>
          <w:ilvl w:val="0"/>
          <w:numId w:val="16"/>
        </w:numPr>
        <w:keepLines/>
        <w:spacing w:after="80"/>
      </w:pPr>
      <w:r>
        <w:t>Collect professional/profile fields through progressive completion after verification, explaining why each field is used and whether it is public.</w:t>
      </w:r>
    </w:p>
    <w:p>
      <w:pPr>
        <w:numPr>
          <w:ilvl w:val="0"/>
          <w:numId w:val="16"/>
        </w:numPr>
        <w:keepLines/>
        <w:spacing w:after="80"/>
      </w:pPr>
      <w:r>
        <w:t>Offer password-manager-compatible autocomplete, show clear password requirements before submit, and consider passkeys when the identity stack supports them.</w:t>
      </w:r>
    </w:p>
    <w:p>
      <w:pPr>
        <w:numPr>
          <w:ilvl w:val="0"/>
          <w:numId w:val="16"/>
        </w:numPr>
        <w:keepLines/>
        <w:spacing w:after="80"/>
      </w:pPr>
      <w:r>
        <w:t>Clarify whether saved items/preferences synchronize across devices. Current preference language should not imply server sync if storage is local-only.</w:t>
      </w:r>
    </w:p>
    <w:p>
      <w:pPr>
        <w:numPr>
          <w:ilvl w:val="0"/>
          <w:numId w:val="16"/>
        </w:numPr>
        <w:keepLines/>
        <w:spacing w:after="80"/>
      </w:pPr>
      <w:r>
        <w:t>Measure start-to-complete conversion, verification completion, time-to-first-library-view, and field-level abandonment without collecting sensitive free text.</w:t>
      </w:r>
    </w:p>
    <w:p>
      <w:bookmarkStart w:id="11" w:name="section_11"/>
      <w:pPr>
        <w:pStyle w:val="Heading2"/>
      </w:pPr>
      <w:r>
        <w:t>P-07  Modernize the content-management workflow</w:t>
      </w:r>
      <w:bookmarkEnd w:id="11"/>
    </w:p>
    <w:p>
      <w:r>
        <w:t>AdminWorkspace concentrates multiple resources and a rich-text editor in a 982-line client component. document.execCommand is deprecated, visible labels contain corrupted characters, and relationship writes are not transactionally atomic. This affects editor efficiency and content integrity.</w:t>
      </w:r>
    </w:p>
    <w:p>
      <w:pPr>
        <w:numPr>
          <w:ilvl w:val="0"/>
          <w:numId w:val="17"/>
        </w:numPr>
        <w:keepLines/>
        <w:spacing w:after="80"/>
      </w:pPr>
      <w:r>
        <w:t>Split admin resources into focused routes or lazy-loaded panels with independent schemas and permission boundaries.</w:t>
      </w:r>
    </w:p>
    <w:p>
      <w:pPr>
        <w:numPr>
          <w:ilvl w:val="0"/>
          <w:numId w:val="17"/>
        </w:numPr>
        <w:keepLines/>
        <w:spacing w:after="80"/>
      </w:pPr>
      <w:r>
        <w:t>Use a maintained accessible editor, or preferably structured content blocks for headings, callouts, images, references, and chapters. Structured data produces more consistent accessible output than unrestricted HTML.</w:t>
      </w:r>
    </w:p>
    <w:p>
      <w:pPr>
        <w:numPr>
          <w:ilvl w:val="0"/>
          <w:numId w:val="17"/>
        </w:numPr>
        <w:keepLines/>
        <w:spacing w:after="80"/>
      </w:pPr>
      <w:r>
        <w:t>Add draft/review/publish states, previews in all locales/themes, autosave with recovery, change history, scheduled publishing, and clear unsaved-change warnings.</w:t>
      </w:r>
    </w:p>
    <w:p>
      <w:pPr>
        <w:numPr>
          <w:ilvl w:val="0"/>
          <w:numId w:val="17"/>
        </w:numPr>
        <w:keepLines/>
        <w:spacing w:after="80"/>
      </w:pPr>
      <w:r>
        <w:t>Make relation replacement transactional and issue precise cache revalidation only after commit.</w:t>
      </w:r>
    </w:p>
    <w:p>
      <w:pPr>
        <w:numPr>
          <w:ilvl w:val="0"/>
          <w:numId w:val="17"/>
        </w:numPr>
        <w:keepLines/>
        <w:spacing w:after="80"/>
      </w:pPr>
      <w:r>
        <w:t>Add media provenance, alt text, consent/license, photographer/source, anatomy subject, review status, and protected/public classification to the asset workflow.</w:t>
      </w:r>
    </w:p>
    <w:p>
      <w:bookmarkStart w:id="12" w:name="section_12"/>
      <w:pPr>
        <w:pStyle w:val="Heading2"/>
      </w:pPr>
      <w:r>
        <w:t>P-08  Improve library findability and learning continuity</w:t>
      </w:r>
      <w:bookmarkEnd w:id="12"/>
    </w:p>
    <w:p>
      <w:r>
        <w:t>The current content helpers cache and filter a broader card catalog in application memory, while saved items are stored as duplicated snippets in user metadata despite dedicated schema tables. This is workable at small scale but becomes inefficient and hard to reconcile as the library grows.</w:t>
      </w:r>
    </w:p>
    <w:p>
      <w:pPr>
        <w:numPr>
          <w:ilvl w:val="0"/>
          <w:numId w:val="18"/>
        </w:numPr>
        <w:keepLines/>
        <w:spacing w:after="80"/>
      </w:pPr>
      <w:r>
        <w:t>Move topic/search/filter/pagination to indexed database queries. Return compact card fields and use cursor pagination for stable results.</w:t>
      </w:r>
    </w:p>
    <w:p>
      <w:pPr>
        <w:numPr>
          <w:ilvl w:val="0"/>
          <w:numId w:val="18"/>
        </w:numPr>
        <w:keepLines/>
        <w:spacing w:after="80"/>
      </w:pPr>
      <w:r>
        <w:t>Add search that handles English/Arabic/Sorani normalization, synonyms, transliteration where appropriate, typo tolerance, and clinically reviewed terminology.</w:t>
      </w:r>
    </w:p>
    <w:p>
      <w:pPr>
        <w:numPr>
          <w:ilvl w:val="0"/>
          <w:numId w:val="18"/>
        </w:numPr>
        <w:keepLines/>
        <w:spacing w:after="80"/>
      </w:pPr>
      <w:r>
        <w:t>Use dedicated saved-item/progress tables with authoritative content IDs. Avoid copying stale titles/images into user metadata; join current card data at read time.</w:t>
      </w:r>
    </w:p>
    <w:p>
      <w:pPr>
        <w:numPr>
          <w:ilvl w:val="0"/>
          <w:numId w:val="18"/>
        </w:numPr>
        <w:keepLines/>
        <w:spacing w:after="80"/>
      </w:pPr>
      <w:r>
        <w:t>Expose useful filters such as anatomy, procedure, content type, level, language, duration, publication/review date, and access state without overwhelming the default view.</w:t>
      </w:r>
    </w:p>
    <w:p>
      <w:pPr>
        <w:numPr>
          <w:ilvl w:val="0"/>
          <w:numId w:val="18"/>
        </w:numPr>
        <w:keepLines/>
        <w:spacing w:after="80"/>
      </w:pPr>
      <w:r>
        <w:t>Design a 'continue learning' area only after progress semantics, privacy, and measurement are defined. Avoid gamification that could imply clinical competency.</w:t>
      </w:r>
    </w:p>
    <w:p>
      <w:bookmarkStart w:id="13" w:name="section_13"/>
      <w:pPr>
        <w:pStyle w:val="Heading2"/>
      </w:pPr>
      <w:r>
        <w:t>P-09 and P-10  Engineering efficiency and observability</w:t>
      </w:r>
      <w:bookmarkEnd w:id="13"/>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2000"/>
        <w:gridCol w:w="3170"/>
        <w:gridCol w:w="4190"/>
      </w:tblGrid>
      <w:tr>
        <w:trPr>
          <w:tblHeader w:val="true"/>
        </w:trPr>
        <w:tc>
          <w:tcPr>
            <w:tcW w:type="dxa" w:w="2000"/>
            <w:shd w:fill="0F5E5A"/>
            <w:tcMar>
              <w:top w:w="80" w:type="dxa"/>
              <w:start w:w="120" w:type="dxa"/>
              <w:bottom w:w="80" w:type="dxa"/>
              <w:end w:w="120" w:type="dxa"/>
            </w:tcMar>
            <w:vAlign w:val="center"/>
          </w:tcPr>
          <w:p>
            <w:pPr>
              <w:pStyle w:val="TableText"/>
            </w:pPr>
            <w:r>
              <w:rPr>
                <w:b/>
                <w:color w:val="FFFFFF"/>
              </w:rPr>
              <w:t>Capability</w:t>
            </w:r>
          </w:p>
        </w:tc>
        <w:tc>
          <w:tcPr>
            <w:tcW w:type="dxa" w:w="3170"/>
            <w:shd w:fill="0F5E5A"/>
            <w:tcMar>
              <w:top w:w="80" w:type="dxa"/>
              <w:start w:w="120" w:type="dxa"/>
              <w:bottom w:w="80" w:type="dxa"/>
              <w:end w:w="120" w:type="dxa"/>
            </w:tcMar>
            <w:vAlign w:val="center"/>
          </w:tcPr>
          <w:p>
            <w:pPr>
              <w:pStyle w:val="TableText"/>
            </w:pPr>
            <w:r>
              <w:rPr>
                <w:b/>
                <w:color w:val="FFFFFF"/>
              </w:rPr>
              <w:t>Current gap</w:t>
            </w:r>
          </w:p>
        </w:tc>
        <w:tc>
          <w:tcPr>
            <w:tcW w:type="dxa" w:w="4190"/>
            <w:shd w:fill="0F5E5A"/>
            <w:tcMar>
              <w:top w:w="80" w:type="dxa"/>
              <w:start w:w="120" w:type="dxa"/>
              <w:bottom w:w="80" w:type="dxa"/>
              <w:end w:w="120" w:type="dxa"/>
            </w:tcMar>
            <w:vAlign w:val="center"/>
          </w:tcPr>
          <w:p>
            <w:pPr>
              <w:pStyle w:val="TableText"/>
            </w:pPr>
            <w:r>
              <w:rPr>
                <w:b/>
                <w:color w:val="FFFFFF"/>
              </w:rPr>
              <w:t>Enhancement</w:t>
            </w:r>
          </w:p>
        </w:tc>
      </w:tr>
      <w:tr>
        <w:tc>
          <w:tcPr>
            <w:tcW w:type="dxa" w:w="2000"/>
            <w:tcMar>
              <w:top w:w="80" w:type="dxa"/>
              <w:start w:w="120" w:type="dxa"/>
              <w:bottom w:w="80" w:type="dxa"/>
              <w:end w:w="120" w:type="dxa"/>
            </w:tcMar>
            <w:vAlign w:val="center"/>
          </w:tcPr>
          <w:p>
            <w:pPr>
              <w:pStyle w:val="TableText"/>
            </w:pPr>
            <w:r>
              <w:t>Data contracts</w:t>
            </w:r>
          </w:p>
        </w:tc>
        <w:tc>
          <w:tcPr>
            <w:tcW w:type="dxa" w:w="3170"/>
            <w:tcMar>
              <w:top w:w="80" w:type="dxa"/>
              <w:start w:w="120" w:type="dxa"/>
              <w:bottom w:w="80" w:type="dxa"/>
              <w:end w:w="120" w:type="dxa"/>
            </w:tcMar>
            <w:vAlign w:val="center"/>
          </w:tcPr>
          <w:p>
            <w:pPr>
              <w:pStyle w:val="TableText"/>
            </w:pPr>
            <w:r>
              <w:t>Raw/untyped database mapping and handwritten validation.</w:t>
            </w:r>
          </w:p>
        </w:tc>
        <w:tc>
          <w:tcPr>
            <w:tcW w:type="dxa" w:w="4190"/>
            <w:tcMar>
              <w:top w:w="80" w:type="dxa"/>
              <w:start w:w="120" w:type="dxa"/>
              <w:bottom w:w="80" w:type="dxa"/>
              <w:end w:w="120" w:type="dxa"/>
            </w:tcMar>
            <w:vAlign w:val="center"/>
          </w:tcPr>
          <w:p>
            <w:pPr>
              <w:pStyle w:val="TableText"/>
            </w:pPr>
            <w:r>
              <w:t>Generate Supabase types; share Zod/Valibot schemas; validate at every trust boundary.</w:t>
            </w:r>
          </w:p>
        </w:tc>
      </w:tr>
      <w:tr>
        <w:tc>
          <w:tcPr>
            <w:tcW w:type="dxa" w:w="2000"/>
            <w:tcMar>
              <w:top w:w="80" w:type="dxa"/>
              <w:start w:w="120" w:type="dxa"/>
              <w:bottom w:w="80" w:type="dxa"/>
              <w:end w:w="120" w:type="dxa"/>
            </w:tcMar>
            <w:vAlign w:val="center"/>
          </w:tcPr>
          <w:p>
            <w:pPr>
              <w:pStyle w:val="TableText"/>
            </w:pPr>
            <w:r>
              <w:t>Transactions</w:t>
            </w:r>
          </w:p>
        </w:tc>
        <w:tc>
          <w:tcPr>
            <w:tcW w:type="dxa" w:w="3170"/>
            <w:tcMar>
              <w:top w:w="80" w:type="dxa"/>
              <w:start w:w="120" w:type="dxa"/>
              <w:bottom w:w="80" w:type="dxa"/>
              <w:end w:w="120" w:type="dxa"/>
            </w:tcMar>
            <w:vAlign w:val="center"/>
          </w:tcPr>
          <w:p>
            <w:pPr>
              <w:pStyle w:val="TableText"/>
            </w:pPr>
            <w:r>
              <w:t>Related rows are replaced in multiple operations.</w:t>
            </w:r>
          </w:p>
        </w:tc>
        <w:tc>
          <w:tcPr>
            <w:tcW w:type="dxa" w:w="4190"/>
            <w:tcMar>
              <w:top w:w="80" w:type="dxa"/>
              <w:start w:w="120" w:type="dxa"/>
              <w:bottom w:w="80" w:type="dxa"/>
              <w:end w:w="120" w:type="dxa"/>
            </w:tcMar>
            <w:vAlign w:val="center"/>
          </w:tcPr>
          <w:p>
            <w:pPr>
              <w:pStyle w:val="TableText"/>
            </w:pPr>
            <w:r>
              <w:t>Move compound mutations into one SQL/RPC transaction with idempotency where needed.</w:t>
            </w:r>
          </w:p>
        </w:tc>
      </w:tr>
      <w:tr>
        <w:tc>
          <w:tcPr>
            <w:tcW w:type="dxa" w:w="2000"/>
            <w:tcMar>
              <w:top w:w="80" w:type="dxa"/>
              <w:start w:w="120" w:type="dxa"/>
              <w:bottom w:w="80" w:type="dxa"/>
              <w:end w:w="120" w:type="dxa"/>
            </w:tcMar>
            <w:vAlign w:val="center"/>
          </w:tcPr>
          <w:p>
            <w:pPr>
              <w:pStyle w:val="TableText"/>
            </w:pPr>
            <w:r>
              <w:t>Caching</w:t>
            </w:r>
          </w:p>
        </w:tc>
        <w:tc>
          <w:tcPr>
            <w:tcW w:type="dxa" w:w="3170"/>
            <w:tcMar>
              <w:top w:w="80" w:type="dxa"/>
              <w:start w:w="120" w:type="dxa"/>
              <w:bottom w:w="80" w:type="dxa"/>
              <w:end w:w="120" w:type="dxa"/>
            </w:tcMar>
            <w:vAlign w:val="center"/>
          </w:tcPr>
          <w:p>
            <w:pPr>
              <w:pStyle w:val="TableText"/>
            </w:pPr>
            <w:r>
              <w:t>Public data uses time-based caches; admin writes do not visibly invalidate tags.</w:t>
            </w:r>
          </w:p>
        </w:tc>
        <w:tc>
          <w:tcPr>
            <w:tcW w:type="dxa" w:w="4190"/>
            <w:tcMar>
              <w:top w:w="80" w:type="dxa"/>
              <w:start w:w="120" w:type="dxa"/>
              <w:bottom w:w="80" w:type="dxa"/>
              <w:end w:w="120" w:type="dxa"/>
            </w:tcMar>
            <w:vAlign w:val="center"/>
          </w:tcPr>
          <w:p>
            <w:pPr>
              <w:pStyle w:val="TableText"/>
            </w:pPr>
            <w:r>
              <w:t>Define cache ownership and revalidate exact tags after commit; add stale/failure telemetry.</w:t>
            </w:r>
          </w:p>
        </w:tc>
      </w:tr>
      <w:tr>
        <w:tc>
          <w:tcPr>
            <w:tcW w:type="dxa" w:w="2000"/>
            <w:tcMar>
              <w:top w:w="80" w:type="dxa"/>
              <w:start w:w="120" w:type="dxa"/>
              <w:bottom w:w="80" w:type="dxa"/>
              <w:end w:w="120" w:type="dxa"/>
            </w:tcMar>
            <w:vAlign w:val="center"/>
          </w:tcPr>
          <w:p>
            <w:pPr>
              <w:pStyle w:val="TableText"/>
            </w:pPr>
            <w:r>
              <w:t>Fallbacks</w:t>
            </w:r>
          </w:p>
        </w:tc>
        <w:tc>
          <w:tcPr>
            <w:tcW w:type="dxa" w:w="3170"/>
            <w:tcMar>
              <w:top w:w="80" w:type="dxa"/>
              <w:start w:w="120" w:type="dxa"/>
              <w:bottom w:w="80" w:type="dxa"/>
              <w:end w:w="120" w:type="dxa"/>
            </w:tcMar>
            <w:vAlign w:val="center"/>
          </w:tcPr>
          <w:p>
            <w:pPr>
              <w:pStyle w:val="TableText"/>
            </w:pPr>
            <w:r>
              <w:t>Events can silently fall back to hardcoded data on error or empty result.</w:t>
            </w:r>
          </w:p>
        </w:tc>
        <w:tc>
          <w:tcPr>
            <w:tcW w:type="dxa" w:w="4190"/>
            <w:tcMar>
              <w:top w:w="80" w:type="dxa"/>
              <w:start w:w="120" w:type="dxa"/>
              <w:bottom w:w="80" w:type="dxa"/>
              <w:end w:w="120" w:type="dxa"/>
            </w:tcMar>
            <w:vAlign w:val="center"/>
          </w:tcPr>
          <w:p>
            <w:pPr>
              <w:pStyle w:val="TableText"/>
            </w:pPr>
            <w:r>
              <w:t>Distinguish empty from failed, show intentional status, and alert rather than masking outages.</w:t>
            </w:r>
          </w:p>
        </w:tc>
      </w:tr>
      <w:tr>
        <w:tc>
          <w:tcPr>
            <w:tcW w:type="dxa" w:w="2000"/>
            <w:tcMar>
              <w:top w:w="80" w:type="dxa"/>
              <w:start w:w="120" w:type="dxa"/>
              <w:bottom w:w="80" w:type="dxa"/>
              <w:end w:w="120" w:type="dxa"/>
            </w:tcMar>
            <w:vAlign w:val="center"/>
          </w:tcPr>
          <w:p>
            <w:pPr>
              <w:pStyle w:val="TableText"/>
            </w:pPr>
            <w:r>
              <w:t>Monitoring</w:t>
            </w:r>
          </w:p>
        </w:tc>
        <w:tc>
          <w:tcPr>
            <w:tcW w:type="dxa" w:w="3170"/>
            <w:tcMar>
              <w:top w:w="80" w:type="dxa"/>
              <w:start w:w="120" w:type="dxa"/>
              <w:bottom w:w="80" w:type="dxa"/>
              <w:end w:w="120" w:type="dxa"/>
            </w:tcMar>
            <w:vAlign w:val="center"/>
          </w:tcPr>
          <w:p>
            <w:pPr>
              <w:pStyle w:val="TableText"/>
            </w:pPr>
            <w:r>
              <w:t>No source-visible error tracing, Web Vitals, uptime, or product analytics plan.</w:t>
            </w:r>
          </w:p>
        </w:tc>
        <w:tc>
          <w:tcPr>
            <w:tcW w:type="dxa" w:w="4190"/>
            <w:tcMar>
              <w:top w:w="80" w:type="dxa"/>
              <w:start w:w="120" w:type="dxa"/>
              <w:bottom w:w="80" w:type="dxa"/>
              <w:end w:w="120" w:type="dxa"/>
            </w:tcMar>
            <w:vAlign w:val="center"/>
          </w:tcPr>
          <w:p>
            <w:pPr>
              <w:pStyle w:val="TableText"/>
            </w:pPr>
            <w:r>
              <w:t>Add privacy-aware telemetry with PHI/clinical-text redaction, sampling, retention, and alert ownership.</w:t>
            </w:r>
          </w:p>
        </w:tc>
      </w:tr>
      <w:tr>
        <w:tc>
          <w:tcPr>
            <w:tcW w:type="dxa" w:w="2000"/>
            <w:tcMar>
              <w:top w:w="80" w:type="dxa"/>
              <w:start w:w="120" w:type="dxa"/>
              <w:bottom w:w="80" w:type="dxa"/>
              <w:end w:w="120" w:type="dxa"/>
            </w:tcMar>
            <w:vAlign w:val="center"/>
          </w:tcPr>
          <w:p>
            <w:pPr>
              <w:pStyle w:val="TableText"/>
            </w:pPr>
            <w:r>
              <w:t>Performance</w:t>
            </w:r>
          </w:p>
        </w:tc>
        <w:tc>
          <w:tcPr>
            <w:tcW w:type="dxa" w:w="3170"/>
            <w:tcMar>
              <w:top w:w="80" w:type="dxa"/>
              <w:start w:w="120" w:type="dxa"/>
              <w:bottom w:w="80" w:type="dxa"/>
              <w:end w:w="120" w:type="dxa"/>
            </w:tcMar>
            <w:vAlign w:val="center"/>
          </w:tcPr>
          <w:p>
            <w:pPr>
              <w:pStyle w:val="TableText"/>
            </w:pPr>
            <w:r>
              <w:t>No bundle or route budgets.</w:t>
            </w:r>
          </w:p>
        </w:tc>
        <w:tc>
          <w:tcPr>
            <w:tcW w:type="dxa" w:w="4190"/>
            <w:tcMar>
              <w:top w:w="80" w:type="dxa"/>
              <w:start w:w="120" w:type="dxa"/>
              <w:bottom w:w="80" w:type="dxa"/>
              <w:end w:w="120" w:type="dxa"/>
            </w:tcMar>
            <w:vAlign w:val="center"/>
          </w:tcPr>
          <w:p>
            <w:pPr>
              <w:pStyle w:val="TableText"/>
            </w:pPr>
            <w:r>
              <w:t>Track JS/CSS/image bytes, LCP/CLS/INP, API p95, R2/Supabase errors, cache hit ratio, and regressions.</w:t>
            </w:r>
          </w:p>
        </w:tc>
      </w:tr>
      <w:tr>
        <w:tc>
          <w:tcPr>
            <w:tcW w:type="dxa" w:w="2000"/>
            <w:tcMar>
              <w:top w:w="80" w:type="dxa"/>
              <w:start w:w="120" w:type="dxa"/>
              <w:bottom w:w="80" w:type="dxa"/>
              <w:end w:w="120" w:type="dxa"/>
            </w:tcMar>
            <w:vAlign w:val="center"/>
          </w:tcPr>
          <w:p>
            <w:pPr>
              <w:pStyle w:val="TableText"/>
            </w:pPr>
            <w:r>
              <w:t>Delivery</w:t>
            </w:r>
          </w:p>
        </w:tc>
        <w:tc>
          <w:tcPr>
            <w:tcW w:type="dxa" w:w="3170"/>
            <w:tcMar>
              <w:top w:w="80" w:type="dxa"/>
              <w:start w:w="120" w:type="dxa"/>
              <w:bottom w:w="80" w:type="dxa"/>
              <w:end w:w="120" w:type="dxa"/>
            </w:tcMar>
            <w:vAlign w:val="center"/>
          </w:tcPr>
          <w:p>
            <w:pPr>
              <w:pStyle w:val="TableText"/>
            </w:pPr>
            <w:r>
              <w:t>Existing route tests can run against stale dist.</w:t>
            </w:r>
          </w:p>
        </w:tc>
        <w:tc>
          <w:tcPr>
            <w:tcW w:type="dxa" w:w="4190"/>
            <w:tcMar>
              <w:top w:w="80" w:type="dxa"/>
              <w:start w:w="120" w:type="dxa"/>
              <w:bottom w:w="80" w:type="dxa"/>
              <w:end w:w="120" w:type="dxa"/>
            </w:tcMar>
            <w:vAlign w:val="center"/>
          </w:tcPr>
          <w:p>
            <w:pPr>
              <w:pStyle w:val="TableText"/>
            </w:pPr>
            <w:r>
              <w:t>Make clean build -&gt; tests -&gt; preview -&gt; smoke/security/a11y the deployment sequence.</w:t>
            </w:r>
          </w:p>
        </w:tc>
      </w:tr>
    </w:tbl>
    <w:p>
      <w:pPr>
        <w:spacing w:after="0"/>
      </w:pPr>
    </w:p>
    <w:p>
      <w:bookmarkStart w:id="14" w:name="section_14"/>
      <w:pPr>
        <w:pStyle w:val="Heading2"/>
      </w:pPr>
      <w:r>
        <w:t>P-11 and P-12  Content governance and design-system alignment</w:t>
      </w:r>
      <w:bookmarkEnd w:id="14"/>
    </w:p>
    <w:p>
      <w:pPr>
        <w:numPr>
          <w:ilvl w:val="0"/>
          <w:numId w:val="19"/>
        </w:numPr>
        <w:keepLines/>
        <w:spacing w:after="80"/>
      </w:pPr>
      <w:r>
        <w:t>Define clinical content ownership, reviewer qualifications, review/expiry dates, references, correction workflow, and visible last-reviewed metadata.</w:t>
      </w:r>
    </w:p>
    <w:p>
      <w:pPr>
        <w:numPr>
          <w:ilvl w:val="0"/>
          <w:numId w:val="19"/>
        </w:numPr>
        <w:keepLines/>
        <w:spacing w:after="80"/>
      </w:pPr>
      <w:r>
        <w:t>For every clinical image, record source, license/consent, de-identification status, permitted audience, retention, and takedown contact.</w:t>
      </w:r>
    </w:p>
    <w:p>
      <w:pPr>
        <w:numPr>
          <w:ilvl w:val="0"/>
          <w:numId w:val="19"/>
        </w:numPr>
        <w:keepLines/>
        <w:spacing w:after="80"/>
      </w:pPr>
      <w:r>
        <w:t>Create an editorial style guide and translation glossary so headings, abbreviations, procedural cautions, and references are consistent across languages.</w:t>
      </w:r>
    </w:p>
    <w:p>
      <w:pPr>
        <w:numPr>
          <w:ilvl w:val="0"/>
          <w:numId w:val="19"/>
        </w:numPr>
        <w:keepLines/>
        <w:spacing w:after="80"/>
      </w:pPr>
      <w:r>
        <w:t>Reconcile assets/design-system/smart-surgical-team/MASTER.md: component examples should use the locked teal/ivory/copper palette and the product's Explore Library conversion direction, not unrelated green/cyan or newsletter patterns.</w:t>
      </w:r>
    </w:p>
    <w:p>
      <w:pPr>
        <w:numPr>
          <w:ilvl w:val="0"/>
          <w:numId w:val="19"/>
        </w:numPr>
        <w:keepLines/>
        <w:spacing w:after="80"/>
      </w:pPr>
      <w:r>
        <w:t>Turn design tokens into code variables with documented semantic roles; add component states for hover, focus, disabled, error, loading, RTL, and dark theme.</w:t>
      </w:r>
    </w:p>
    <w:p>
      <w:bookmarkStart w:id="15" w:name="section_15"/>
      <w:pPr>
        <w:pStyle w:val="Heading1"/>
      </w:pPr>
      <w:r>
        <w:t>Recommended roadmap</w:t>
      </w:r>
      <w:bookmarkEnd w:id="15"/>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400"/>
        <w:gridCol w:w="5170"/>
        <w:gridCol w:w="2790"/>
      </w:tblGrid>
      <w:tr>
        <w:trPr>
          <w:tblHeader w:val="true"/>
        </w:trPr>
        <w:tc>
          <w:tcPr>
            <w:tcW w:type="dxa" w:w="1400"/>
            <w:shd w:fill="0F5E5A"/>
            <w:tcMar>
              <w:top w:w="80" w:type="dxa"/>
              <w:start w:w="120" w:type="dxa"/>
              <w:bottom w:w="80" w:type="dxa"/>
              <w:end w:w="120" w:type="dxa"/>
            </w:tcMar>
            <w:vAlign w:val="center"/>
          </w:tcPr>
          <w:p>
            <w:pPr>
              <w:pStyle w:val="TableText"/>
            </w:pPr>
            <w:r>
              <w:rPr>
                <w:b/>
                <w:color w:val="FFFFFF"/>
              </w:rPr>
              <w:t>Horizon</w:t>
            </w:r>
          </w:p>
        </w:tc>
        <w:tc>
          <w:tcPr>
            <w:tcW w:type="dxa" w:w="5170"/>
            <w:shd w:fill="0F5E5A"/>
            <w:tcMar>
              <w:top w:w="80" w:type="dxa"/>
              <w:start w:w="120" w:type="dxa"/>
              <w:bottom w:w="80" w:type="dxa"/>
              <w:end w:w="120" w:type="dxa"/>
            </w:tcMar>
            <w:vAlign w:val="center"/>
          </w:tcPr>
          <w:p>
            <w:pPr>
              <w:pStyle w:val="TableText"/>
            </w:pPr>
            <w:r>
              <w:rPr>
                <w:b/>
                <w:color w:val="FFFFFF"/>
              </w:rPr>
              <w:t>Workstream</w:t>
            </w:r>
          </w:p>
        </w:tc>
        <w:tc>
          <w:tcPr>
            <w:tcW w:type="dxa" w:w="2790"/>
            <w:shd w:fill="0F5E5A"/>
            <w:tcMar>
              <w:top w:w="80" w:type="dxa"/>
              <w:start w:w="120" w:type="dxa"/>
              <w:bottom w:w="80" w:type="dxa"/>
              <w:end w:w="120" w:type="dxa"/>
            </w:tcMar>
            <w:vAlign w:val="center"/>
          </w:tcPr>
          <w:p>
            <w:pPr>
              <w:pStyle w:val="TableText"/>
            </w:pPr>
            <w:r>
              <w:rPr>
                <w:b/>
                <w:color w:val="FFFFFF"/>
              </w:rPr>
              <w:t>Expected result</w:t>
            </w:r>
          </w:p>
        </w:tc>
      </w:tr>
      <w:tr>
        <w:tc>
          <w:tcPr>
            <w:tcW w:type="dxa" w:w="1400"/>
            <w:tcMar>
              <w:top w:w="80" w:type="dxa"/>
              <w:start w:w="120" w:type="dxa"/>
              <w:bottom w:w="80" w:type="dxa"/>
              <w:end w:w="120" w:type="dxa"/>
            </w:tcMar>
            <w:vAlign w:val="center"/>
          </w:tcPr>
          <w:p>
            <w:pPr>
              <w:pStyle w:val="TableText"/>
            </w:pPr>
            <w:r>
              <w:t>0-2 weeks</w:t>
            </w:r>
          </w:p>
        </w:tc>
        <w:tc>
          <w:tcPr>
            <w:tcW w:type="dxa" w:w="5170"/>
            <w:tcMar>
              <w:top w:w="80" w:type="dxa"/>
              <w:start w:w="120" w:type="dxa"/>
              <w:bottom w:w="80" w:type="dxa"/>
              <w:end w:w="120" w:type="dxa"/>
            </w:tcMar>
            <w:vAlign w:val="center"/>
          </w:tcPr>
          <w:p>
            <w:pPr>
              <w:pStyle w:val="TableText"/>
            </w:pPr>
            <w:r>
              <w:t>Security emergency actions; repair corrupted admin labels; real legal/contact destinations; stable SITE_URL; enable email verification; baseline Web Vitals and asset weight.</w:t>
            </w:r>
          </w:p>
        </w:tc>
        <w:tc>
          <w:tcPr>
            <w:tcW w:type="dxa" w:w="2790"/>
            <w:tcMar>
              <w:top w:w="80" w:type="dxa"/>
              <w:start w:w="120" w:type="dxa"/>
              <w:bottom w:w="80" w:type="dxa"/>
              <w:end w:w="120" w:type="dxa"/>
            </w:tcMar>
            <w:vAlign w:val="center"/>
          </w:tcPr>
          <w:p>
            <w:pPr>
              <w:pStyle w:val="TableText"/>
            </w:pPr>
            <w:r>
              <w:t>Immediate trust and operational-risk reduction.</w:t>
            </w:r>
          </w:p>
        </w:tc>
      </w:tr>
      <w:tr>
        <w:tc>
          <w:tcPr>
            <w:tcW w:type="dxa" w:w="1400"/>
            <w:tcMar>
              <w:top w:w="80" w:type="dxa"/>
              <w:start w:w="120" w:type="dxa"/>
              <w:bottom w:w="80" w:type="dxa"/>
              <w:end w:w="120" w:type="dxa"/>
            </w:tcMar>
            <w:vAlign w:val="center"/>
          </w:tcPr>
          <w:p>
            <w:pPr>
              <w:pStyle w:val="TableText"/>
            </w:pPr>
            <w:r>
              <w:t>2-6 weeks</w:t>
            </w:r>
          </w:p>
        </w:tc>
        <w:tc>
          <w:tcPr>
            <w:tcW w:type="dxa" w:w="5170"/>
            <w:tcMar>
              <w:top w:w="80" w:type="dxa"/>
              <w:start w:w="120" w:type="dxa"/>
              <w:bottom w:w="80" w:type="dxa"/>
              <w:end w:w="120" w:type="dxa"/>
            </w:tcMar>
            <w:vAlign w:val="center"/>
          </w:tcPr>
          <w:p>
            <w:pPr>
              <w:pStyle w:val="TableText"/>
            </w:pPr>
            <w:r>
              <w:t>Arabic/Sorani string extraction and translation; responsive media pilot; sitemap/robots/page metadata; accessibility fixes; clean-build test pipeline.</w:t>
            </w:r>
          </w:p>
        </w:tc>
        <w:tc>
          <w:tcPr>
            <w:tcW w:type="dxa" w:w="2790"/>
            <w:tcMar>
              <w:top w:w="80" w:type="dxa"/>
              <w:start w:w="120" w:type="dxa"/>
              <w:bottom w:w="80" w:type="dxa"/>
              <w:end w:w="120" w:type="dxa"/>
            </w:tcMar>
            <w:vAlign w:val="center"/>
          </w:tcPr>
          <w:p>
            <w:pPr>
              <w:pStyle w:val="TableText"/>
            </w:pPr>
            <w:r>
              <w:t>Credible multilingual launch and faster public experience.</w:t>
            </w:r>
          </w:p>
        </w:tc>
      </w:tr>
      <w:tr>
        <w:tc>
          <w:tcPr>
            <w:tcW w:type="dxa" w:w="1400"/>
            <w:tcMar>
              <w:top w:w="80" w:type="dxa"/>
              <w:start w:w="120" w:type="dxa"/>
              <w:bottom w:w="80" w:type="dxa"/>
              <w:end w:w="120" w:type="dxa"/>
            </w:tcMar>
            <w:vAlign w:val="center"/>
          </w:tcPr>
          <w:p>
            <w:pPr>
              <w:pStyle w:val="TableText"/>
            </w:pPr>
            <w:r>
              <w:t>6-12 weeks</w:t>
            </w:r>
          </w:p>
        </w:tc>
        <w:tc>
          <w:tcPr>
            <w:tcW w:type="dxa" w:w="5170"/>
            <w:tcMar>
              <w:top w:w="80" w:type="dxa"/>
              <w:start w:w="120" w:type="dxa"/>
              <w:bottom w:w="80" w:type="dxa"/>
              <w:end w:w="120" w:type="dxa"/>
            </w:tcMar>
            <w:vAlign w:val="center"/>
          </w:tcPr>
          <w:p>
            <w:pPr>
              <w:pStyle w:val="TableText"/>
            </w:pPr>
            <w:r>
              <w:t>Structured editor/admin split; transactional writes/cache invalidation; protected media workflow; typed data layer; saved-items normalization; privacy-aware monitoring.</w:t>
            </w:r>
          </w:p>
        </w:tc>
        <w:tc>
          <w:tcPr>
            <w:tcW w:type="dxa" w:w="2790"/>
            <w:tcMar>
              <w:top w:w="80" w:type="dxa"/>
              <w:start w:w="120" w:type="dxa"/>
              <w:bottom w:w="80" w:type="dxa"/>
              <w:end w:w="120" w:type="dxa"/>
            </w:tcMar>
            <w:vAlign w:val="center"/>
          </w:tcPr>
          <w:p>
            <w:pPr>
              <w:pStyle w:val="TableText"/>
            </w:pPr>
            <w:r>
              <w:t>More reliable content operations and maintainable platform.</w:t>
            </w:r>
          </w:p>
        </w:tc>
      </w:tr>
      <w:tr>
        <w:tc>
          <w:tcPr>
            <w:tcW w:type="dxa" w:w="1400"/>
            <w:tcMar>
              <w:top w:w="80" w:type="dxa"/>
              <w:start w:w="120" w:type="dxa"/>
              <w:bottom w:w="80" w:type="dxa"/>
              <w:end w:w="120" w:type="dxa"/>
            </w:tcMar>
            <w:vAlign w:val="center"/>
          </w:tcPr>
          <w:p>
            <w:pPr>
              <w:pStyle w:val="TableText"/>
            </w:pPr>
            <w:r>
              <w:t>Quarter 2</w:t>
            </w:r>
          </w:p>
        </w:tc>
        <w:tc>
          <w:tcPr>
            <w:tcW w:type="dxa" w:w="5170"/>
            <w:tcMar>
              <w:top w:w="80" w:type="dxa"/>
              <w:start w:w="120" w:type="dxa"/>
              <w:bottom w:w="80" w:type="dxa"/>
              <w:end w:w="120" w:type="dxa"/>
            </w:tcMar>
            <w:vAlign w:val="center"/>
          </w:tcPr>
          <w:p>
            <w:pPr>
              <w:pStyle w:val="TableText"/>
            </w:pPr>
            <w:r>
              <w:t>Search/pagination, professional terminology search, full image migration, content governance dashboards, review expiry, analytics-informed UX iteration.</w:t>
            </w:r>
          </w:p>
        </w:tc>
        <w:tc>
          <w:tcPr>
            <w:tcW w:type="dxa" w:w="2790"/>
            <w:tcMar>
              <w:top w:w="80" w:type="dxa"/>
              <w:start w:w="120" w:type="dxa"/>
              <w:bottom w:w="80" w:type="dxa"/>
              <w:end w:w="120" w:type="dxa"/>
            </w:tcMar>
            <w:vAlign w:val="center"/>
          </w:tcPr>
          <w:p>
            <w:pPr>
              <w:pStyle w:val="TableText"/>
            </w:pPr>
            <w:r>
              <w:t>Scalable library growth and measurable learning engagement.</w:t>
            </w:r>
          </w:p>
        </w:tc>
      </w:tr>
    </w:tbl>
    <w:p>
      <w:pPr>
        <w:spacing w:after="0"/>
      </w:pPr>
    </w:p>
    <w:p>
      <w:bookmarkStart w:id="16" w:name="section_16"/>
      <w:pPr>
        <w:pStyle w:val="Heading1"/>
      </w:pPr>
      <w:r>
        <w:t>Measurement framework</w:t>
      </w:r>
      <w:bookmarkEnd w:id="16"/>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900"/>
        <w:gridCol w:w="4400"/>
        <w:gridCol w:w="3060"/>
      </w:tblGrid>
      <w:tr>
        <w:trPr>
          <w:tblHeader w:val="true"/>
        </w:trPr>
        <w:tc>
          <w:tcPr>
            <w:tcW w:type="dxa" w:w="1900"/>
            <w:shd w:fill="0F5E5A"/>
            <w:tcMar>
              <w:top w:w="80" w:type="dxa"/>
              <w:start w:w="120" w:type="dxa"/>
              <w:bottom w:w="80" w:type="dxa"/>
              <w:end w:w="120" w:type="dxa"/>
            </w:tcMar>
            <w:vAlign w:val="center"/>
          </w:tcPr>
          <w:p>
            <w:pPr>
              <w:pStyle w:val="TableText"/>
            </w:pPr>
            <w:r>
              <w:rPr>
                <w:b/>
                <w:color w:val="FFFFFF"/>
              </w:rPr>
              <w:t>Outcome</w:t>
            </w:r>
          </w:p>
        </w:tc>
        <w:tc>
          <w:tcPr>
            <w:tcW w:type="dxa" w:w="4400"/>
            <w:shd w:fill="0F5E5A"/>
            <w:tcMar>
              <w:top w:w="80" w:type="dxa"/>
              <w:start w:w="120" w:type="dxa"/>
              <w:bottom w:w="80" w:type="dxa"/>
              <w:end w:w="120" w:type="dxa"/>
            </w:tcMar>
            <w:vAlign w:val="center"/>
          </w:tcPr>
          <w:p>
            <w:pPr>
              <w:pStyle w:val="TableText"/>
            </w:pPr>
            <w:r>
              <w:rPr>
                <w:b/>
                <w:color w:val="FFFFFF"/>
              </w:rPr>
              <w:t>Measures</w:t>
            </w:r>
          </w:p>
        </w:tc>
        <w:tc>
          <w:tcPr>
            <w:tcW w:type="dxa" w:w="3060"/>
            <w:shd w:fill="0F5E5A"/>
            <w:tcMar>
              <w:top w:w="80" w:type="dxa"/>
              <w:start w:w="120" w:type="dxa"/>
              <w:bottom w:w="80" w:type="dxa"/>
              <w:end w:w="120" w:type="dxa"/>
            </w:tcMar>
            <w:vAlign w:val="center"/>
          </w:tcPr>
          <w:p>
            <w:pPr>
              <w:pStyle w:val="TableText"/>
            </w:pPr>
            <w:r>
              <w:rPr>
                <w:b/>
                <w:color w:val="FFFFFF"/>
              </w:rPr>
              <w:t>Guardrail</w:t>
            </w:r>
          </w:p>
        </w:tc>
      </w:tr>
      <w:tr>
        <w:tc>
          <w:tcPr>
            <w:tcW w:type="dxa" w:w="1900"/>
            <w:tcMar>
              <w:top w:w="80" w:type="dxa"/>
              <w:start w:w="120" w:type="dxa"/>
              <w:bottom w:w="80" w:type="dxa"/>
              <w:end w:w="120" w:type="dxa"/>
            </w:tcMar>
            <w:vAlign w:val="center"/>
          </w:tcPr>
          <w:p>
            <w:pPr>
              <w:pStyle w:val="TableText"/>
            </w:pPr>
            <w:r>
              <w:t>Find content faster</w:t>
            </w:r>
          </w:p>
        </w:tc>
        <w:tc>
          <w:tcPr>
            <w:tcW w:type="dxa" w:w="4400"/>
            <w:tcMar>
              <w:top w:w="80" w:type="dxa"/>
              <w:start w:w="120" w:type="dxa"/>
              <w:bottom w:w="80" w:type="dxa"/>
              <w:end w:w="120" w:type="dxa"/>
            </w:tcMar>
            <w:vAlign w:val="center"/>
          </w:tcPr>
          <w:p>
            <w:pPr>
              <w:pStyle w:val="TableText"/>
            </w:pPr>
            <w:r>
              <w:t>Search success, zero-result rate, filter use, time to open useful item.</w:t>
            </w:r>
          </w:p>
        </w:tc>
        <w:tc>
          <w:tcPr>
            <w:tcW w:type="dxa" w:w="3060"/>
            <w:tcMar>
              <w:top w:w="80" w:type="dxa"/>
              <w:start w:w="120" w:type="dxa"/>
              <w:bottom w:w="80" w:type="dxa"/>
              <w:end w:w="120" w:type="dxa"/>
            </w:tcMar>
            <w:vAlign w:val="center"/>
          </w:tcPr>
          <w:p>
            <w:pPr>
              <w:pStyle w:val="TableText"/>
            </w:pPr>
            <w:r>
              <w:t>Do not infer clinical competence from clicks or dwell time.</w:t>
            </w:r>
          </w:p>
        </w:tc>
      </w:tr>
      <w:tr>
        <w:tc>
          <w:tcPr>
            <w:tcW w:type="dxa" w:w="1900"/>
            <w:tcMar>
              <w:top w:w="80" w:type="dxa"/>
              <w:start w:w="120" w:type="dxa"/>
              <w:bottom w:w="80" w:type="dxa"/>
              <w:end w:w="120" w:type="dxa"/>
            </w:tcMar>
            <w:vAlign w:val="center"/>
          </w:tcPr>
          <w:p>
            <w:pPr>
              <w:pStyle w:val="TableText"/>
            </w:pPr>
            <w:r>
              <w:t>Improve account conversion</w:t>
            </w:r>
          </w:p>
        </w:tc>
        <w:tc>
          <w:tcPr>
            <w:tcW w:type="dxa" w:w="4400"/>
            <w:tcMar>
              <w:top w:w="80" w:type="dxa"/>
              <w:start w:w="120" w:type="dxa"/>
              <w:bottom w:w="80" w:type="dxa"/>
              <w:end w:w="120" w:type="dxa"/>
            </w:tcMar>
            <w:vAlign w:val="center"/>
          </w:tcPr>
          <w:p>
            <w:pPr>
              <w:pStyle w:val="TableText"/>
            </w:pPr>
            <w:r>
              <w:t>Start/completion, verification completion, time to first value, field abandonment.</w:t>
            </w:r>
          </w:p>
        </w:tc>
        <w:tc>
          <w:tcPr>
            <w:tcW w:type="dxa" w:w="3060"/>
            <w:tcMar>
              <w:top w:w="80" w:type="dxa"/>
              <w:start w:w="120" w:type="dxa"/>
              <w:bottom w:w="80" w:type="dxa"/>
              <w:end w:w="120" w:type="dxa"/>
            </w:tcMar>
            <w:vAlign w:val="center"/>
          </w:tcPr>
          <w:p>
            <w:pPr>
              <w:pStyle w:val="TableText"/>
            </w:pPr>
            <w:r>
              <w:t>Collect the minimum personal data; document purpose and retention.</w:t>
            </w:r>
          </w:p>
        </w:tc>
      </w:tr>
      <w:tr>
        <w:tc>
          <w:tcPr>
            <w:tcW w:type="dxa" w:w="1900"/>
            <w:tcMar>
              <w:top w:w="80" w:type="dxa"/>
              <w:start w:w="120" w:type="dxa"/>
              <w:bottom w:w="80" w:type="dxa"/>
              <w:end w:w="120" w:type="dxa"/>
            </w:tcMar>
            <w:vAlign w:val="center"/>
          </w:tcPr>
          <w:p>
            <w:pPr>
              <w:pStyle w:val="TableText"/>
            </w:pPr>
            <w:r>
              <w:t>Improve speed</w:t>
            </w:r>
          </w:p>
        </w:tc>
        <w:tc>
          <w:tcPr>
            <w:tcW w:type="dxa" w:w="4400"/>
            <w:tcMar>
              <w:top w:w="80" w:type="dxa"/>
              <w:start w:w="120" w:type="dxa"/>
              <w:bottom w:w="80" w:type="dxa"/>
              <w:end w:w="120" w:type="dxa"/>
            </w:tcMar>
            <w:vAlign w:val="center"/>
          </w:tcPr>
          <w:p>
            <w:pPr>
              <w:pStyle w:val="TableText"/>
            </w:pPr>
            <w:r>
              <w:t>LCP, CLS, INP, image bytes, cache hit ratio, API p95/error rate.</w:t>
            </w:r>
          </w:p>
        </w:tc>
        <w:tc>
          <w:tcPr>
            <w:tcW w:type="dxa" w:w="3060"/>
            <w:tcMar>
              <w:top w:w="80" w:type="dxa"/>
              <w:start w:w="120" w:type="dxa"/>
              <w:bottom w:w="80" w:type="dxa"/>
              <w:end w:w="120" w:type="dxa"/>
            </w:tcMar>
            <w:vAlign w:val="center"/>
          </w:tcPr>
          <w:p>
            <w:pPr>
              <w:pStyle w:val="TableText"/>
            </w:pPr>
            <w:r>
              <w:t>Segment by locale/device/network; do not optimize only desktop averages.</w:t>
            </w:r>
          </w:p>
        </w:tc>
      </w:tr>
      <w:tr>
        <w:tc>
          <w:tcPr>
            <w:tcW w:type="dxa" w:w="1900"/>
            <w:tcMar>
              <w:top w:w="80" w:type="dxa"/>
              <w:start w:w="120" w:type="dxa"/>
              <w:bottom w:w="80" w:type="dxa"/>
              <w:end w:w="120" w:type="dxa"/>
            </w:tcMar>
            <w:vAlign w:val="center"/>
          </w:tcPr>
          <w:p>
            <w:pPr>
              <w:pStyle w:val="TableText"/>
            </w:pPr>
            <w:r>
              <w:t>Improve accessibility</w:t>
            </w:r>
          </w:p>
        </w:tc>
        <w:tc>
          <w:tcPr>
            <w:tcW w:type="dxa" w:w="4400"/>
            <w:tcMar>
              <w:top w:w="80" w:type="dxa"/>
              <w:start w:w="120" w:type="dxa"/>
              <w:bottom w:w="80" w:type="dxa"/>
              <w:end w:w="120" w:type="dxa"/>
            </w:tcMar>
            <w:vAlign w:val="center"/>
          </w:tcPr>
          <w:p>
            <w:pPr>
              <w:pStyle w:val="TableText"/>
            </w:pPr>
            <w:r>
              <w:t>Automated violation count, keyboard task success, screen-reader defects, exception age.</w:t>
            </w:r>
          </w:p>
        </w:tc>
        <w:tc>
          <w:tcPr>
            <w:tcW w:type="dxa" w:w="3060"/>
            <w:tcMar>
              <w:top w:w="80" w:type="dxa"/>
              <w:start w:w="120" w:type="dxa"/>
              <w:bottom w:w="80" w:type="dxa"/>
              <w:end w:w="120" w:type="dxa"/>
            </w:tcMar>
            <w:vAlign w:val="center"/>
          </w:tcPr>
          <w:p>
            <w:pPr>
              <w:pStyle w:val="TableText"/>
            </w:pPr>
            <w:r>
              <w:t>Manual testing remains required; automated zero is not conformance.</w:t>
            </w:r>
          </w:p>
        </w:tc>
      </w:tr>
      <w:tr>
        <w:tc>
          <w:tcPr>
            <w:tcW w:type="dxa" w:w="1900"/>
            <w:tcMar>
              <w:top w:w="80" w:type="dxa"/>
              <w:start w:w="120" w:type="dxa"/>
              <w:bottom w:w="80" w:type="dxa"/>
              <w:end w:w="120" w:type="dxa"/>
            </w:tcMar>
            <w:vAlign w:val="center"/>
          </w:tcPr>
          <w:p>
            <w:pPr>
              <w:pStyle w:val="TableText"/>
            </w:pPr>
            <w:r>
              <w:t>Improve content quality</w:t>
            </w:r>
          </w:p>
        </w:tc>
        <w:tc>
          <w:tcPr>
            <w:tcW w:type="dxa" w:w="4400"/>
            <w:tcMar>
              <w:top w:w="80" w:type="dxa"/>
              <w:start w:w="120" w:type="dxa"/>
              <w:bottom w:w="80" w:type="dxa"/>
              <w:end w:w="120" w:type="dxa"/>
            </w:tcMar>
            <w:vAlign w:val="center"/>
          </w:tcPr>
          <w:p>
            <w:pPr>
              <w:pStyle w:val="TableText"/>
            </w:pPr>
            <w:r>
              <w:t>Review freshness, correction time, missing alt/provenance, translation coverage.</w:t>
            </w:r>
          </w:p>
        </w:tc>
        <w:tc>
          <w:tcPr>
            <w:tcW w:type="dxa" w:w="3060"/>
            <w:tcMar>
              <w:top w:w="80" w:type="dxa"/>
              <w:start w:w="120" w:type="dxa"/>
              <w:bottom w:w="80" w:type="dxa"/>
              <w:end w:w="120" w:type="dxa"/>
            </w:tcMar>
            <w:vAlign w:val="center"/>
          </w:tcPr>
          <w:p>
            <w:pPr>
              <w:pStyle w:val="TableText"/>
            </w:pPr>
            <w:r>
              <w:t>Clinical reviewer approval for high-risk terminology and imagery.</w:t>
            </w:r>
          </w:p>
        </w:tc>
      </w:tr>
      <w:tr>
        <w:tc>
          <w:tcPr>
            <w:tcW w:type="dxa" w:w="1900"/>
            <w:tcMar>
              <w:top w:w="80" w:type="dxa"/>
              <w:start w:w="120" w:type="dxa"/>
              <w:bottom w:w="80" w:type="dxa"/>
              <w:end w:w="120" w:type="dxa"/>
            </w:tcMar>
            <w:vAlign w:val="center"/>
          </w:tcPr>
          <w:p>
            <w:pPr>
              <w:pStyle w:val="TableText"/>
            </w:pPr>
            <w:r>
              <w:t>Improve operations</w:t>
            </w:r>
          </w:p>
        </w:tc>
        <w:tc>
          <w:tcPr>
            <w:tcW w:type="dxa" w:w="4400"/>
            <w:tcMar>
              <w:top w:w="80" w:type="dxa"/>
              <w:start w:w="120" w:type="dxa"/>
              <w:bottom w:w="80" w:type="dxa"/>
              <w:end w:w="120" w:type="dxa"/>
            </w:tcMar>
            <w:vAlign w:val="center"/>
          </w:tcPr>
          <w:p>
            <w:pPr>
              <w:pStyle w:val="TableText"/>
            </w:pPr>
            <w:r>
              <w:t>Publish lead time, failed-save rate, stale-cache reports, rollback/recovery time.</w:t>
            </w:r>
          </w:p>
        </w:tc>
        <w:tc>
          <w:tcPr>
            <w:tcW w:type="dxa" w:w="3060"/>
            <w:tcMar>
              <w:top w:w="80" w:type="dxa"/>
              <w:start w:w="120" w:type="dxa"/>
              <w:bottom w:w="80" w:type="dxa"/>
              <w:end w:w="120" w:type="dxa"/>
            </w:tcMar>
            <w:vAlign w:val="center"/>
          </w:tcPr>
          <w:p>
            <w:pPr>
              <w:pStyle w:val="TableText"/>
            </w:pPr>
            <w:r>
              <w:t>Auditability and least privilege take precedence over faster unrestricted edits.</w:t>
            </w:r>
          </w:p>
        </w:tc>
      </w:tr>
    </w:tbl>
    <w:p>
      <w:pPr>
        <w:spacing w:after="0"/>
      </w:pPr>
    </w:p>
    <w:p>
      <w:bookmarkStart w:id="17" w:name="section_17"/>
      <w:pPr>
        <w:pStyle w:val="Heading1"/>
      </w:pPr>
      <w:r>
        <w:t>Definition of done by workstream</w:t>
      </w:r>
      <w:bookmarkEnd w:id="17"/>
    </w:p>
    <w:p>
      <w:pPr>
        <w:numPr>
          <w:ilvl w:val="0"/>
          <w:numId w:val="20"/>
        </w:numPr>
        <w:keepLines/>
        <w:spacing w:after="80"/>
      </w:pPr>
      <w:r>
        <w:t>Localization: all customer-facing strings are keyed and translated; locale fallbacks are zero; professional medical review and RTL/device/accessibility QA are signed off.</w:t>
      </w:r>
    </w:p>
    <w:p>
      <w:pPr>
        <w:numPr>
          <w:ilvl w:val="0"/>
          <w:numId w:val="20"/>
        </w:numPr>
        <w:keepLines/>
        <w:spacing w:after="80"/>
      </w:pPr>
      <w:r>
        <w:t>Legal/trust: privacy, terms, clinical disclaimer, consent/media policy, and monitored contact routes are published, localized as required, versioned, and approved by accountable owners.</w:t>
      </w:r>
    </w:p>
    <w:p>
      <w:pPr>
        <w:numPr>
          <w:ilvl w:val="0"/>
          <w:numId w:val="20"/>
        </w:numPr>
        <w:keepLines/>
        <w:spacing w:after="80"/>
      </w:pPr>
      <w:r>
        <w:t>Performance: responsive variants serve appropriate sizes; p75 LCP/CLS/INP meet agreed budgets; no material route exceeds byte budgets without approved rationale.</w:t>
      </w:r>
    </w:p>
    <w:p>
      <w:pPr>
        <w:numPr>
          <w:ilvl w:val="0"/>
          <w:numId w:val="20"/>
        </w:numPr>
        <w:keepLines/>
        <w:spacing w:after="80"/>
      </w:pPr>
      <w:r>
        <w:t>SEO: every indexable page has a stable canonical, translated reciprocal hreflang where valid, metadata, sitemap inclusion, and structured data validation; private/admin routes are excluded.</w:t>
      </w:r>
    </w:p>
    <w:p>
      <w:pPr>
        <w:numPr>
          <w:ilvl w:val="0"/>
          <w:numId w:val="20"/>
        </w:numPr>
        <w:keepLines/>
        <w:spacing w:after="80"/>
      </w:pPr>
      <w:r>
        <w:t>Accessibility: automated and manual WCAG 2.2 AA checks pass for key tasks across English/Arabic/Sorani, desktop/mobile, themes, and signed-in states.</w:t>
      </w:r>
    </w:p>
    <w:p>
      <w:pPr>
        <w:numPr>
          <w:ilvl w:val="0"/>
          <w:numId w:val="20"/>
        </w:numPr>
        <w:keepLines/>
        <w:spacing w:after="80"/>
      </w:pPr>
      <w:r>
        <w:t>Admin: editor is accessible and corruption-free; writes are authorized, validated, transactional, auditable, recoverable, and precisely revalidated.</w:t>
      </w:r>
    </w:p>
    <w:p>
      <w:pPr>
        <w:numPr>
          <w:ilvl w:val="0"/>
          <w:numId w:val="20"/>
        </w:numPr>
        <w:keepLines/>
        <w:spacing w:after="80"/>
      </w:pPr>
      <w:r>
        <w:t>Observability: dashboards and alerts exist for availability, API errors, dependency health, Web Vitals, auth/admin anomalies, upload outcomes, and content freshness, with redaction/retention controls.</w:t>
      </w:r>
    </w:p>
    <w:p>
      <w:bookmarkStart w:id="18" w:name="section_18"/>
      <w:pPr>
        <w:pStyle w:val="Heading1"/>
      </w:pPr>
      <w:r>
        <w:t>Suggested delivery sequence</w:t>
      </w:r>
      <w:bookmarkEnd w:id="18"/>
    </w:p>
    <w:p>
      <w:pPr>
        <w:numPr>
          <w:ilvl w:val="0"/>
          <w:numId w:val="21"/>
        </w:numPr>
        <w:keepLines/>
        <w:spacing w:after="80"/>
      </w:pPr>
      <w:r>
        <w:t>Create a short product/engineering baseline: supported locales, public/private content rules, canonical site origin, performance budgets, WCAG target, telemetry data policy, and accountable owners.</w:t>
      </w:r>
    </w:p>
    <w:p>
      <w:pPr>
        <w:numPr>
          <w:ilvl w:val="0"/>
          <w:numId w:val="21"/>
        </w:numPr>
        <w:keepLines/>
        <w:spacing w:after="80"/>
      </w:pPr>
      <w:r>
        <w:t>Resolve the critical security issue and corrupted admin labels before broader feature work.</w:t>
      </w:r>
    </w:p>
    <w:p>
      <w:pPr>
        <w:numPr>
          <w:ilvl w:val="0"/>
          <w:numId w:val="21"/>
        </w:numPr>
        <w:keepLines/>
        <w:spacing w:after="80"/>
      </w:pPr>
      <w:r>
        <w:t>Ship legal/trust destinations and a minimal SEO foundation while translation and media-pipeline work run in parallel.</w:t>
      </w:r>
    </w:p>
    <w:p>
      <w:pPr>
        <w:numPr>
          <w:ilvl w:val="0"/>
          <w:numId w:val="21"/>
        </w:numPr>
        <w:keepLines/>
        <w:spacing w:after="80"/>
      </w:pPr>
      <w:r>
        <w:t>Pilot responsive images on the home hero, topic cards, events, and one gallery; compare field metrics before full migration.</w:t>
      </w:r>
    </w:p>
    <w:p>
      <w:pPr>
        <w:numPr>
          <w:ilvl w:val="0"/>
          <w:numId w:val="21"/>
        </w:numPr>
        <w:keepLines/>
        <w:spacing w:after="80"/>
      </w:pPr>
      <w:r>
        <w:t>Extract and type all strings, translate, and perform true RTL content QA before marketing the locale routes as complete.</w:t>
      </w:r>
    </w:p>
    <w:p>
      <w:pPr>
        <w:numPr>
          <w:ilvl w:val="0"/>
          <w:numId w:val="21"/>
        </w:numPr>
        <w:keepLines/>
        <w:spacing w:after="80"/>
      </w:pPr>
      <w:r>
        <w:t>Modularize admin/data boundaries and introduce transactional writes, cache invalidation, and observability before scaling the library.</w:t>
      </w:r>
    </w:p>
    <w:p>
      <w:pPr>
        <w:numPr>
          <w:ilvl w:val="0"/>
          <w:numId w:val="21"/>
        </w:numPr>
        <w:keepLines/>
        <w:spacing w:after="80"/>
      </w:pPr>
      <w:r>
        <w:t>Use measured search and engagement data to prioritize later recommendations; retain clinical/editorial governance as a non-negotiable guardrail.</w:t>
      </w:r>
    </w:p>
    <w:p>
      <w:bookmarkStart w:id="19" w:name="section_19"/>
      <w:pPr>
        <w:pStyle w:val="Heading1"/>
      </w:pPr>
      <w:r>
        <w:t>Technical references used for the UX review</w:t>
      </w:r>
      <w:bookmarkEnd w:id="19"/>
    </w:p>
    <w:p>
      <w:r>
        <w:t>The recommendations also follow the repository's locked Smart Surgical Team design system and standard web UX guidance for heading hierarchy, keyboard access, skip links, sticky navigation, responsive layout, image optimization, server components, and bundle measurement. Current framework/security references are listed in the companion Security Audit Handoff.</w:t>
      </w:r>
    </w:p>
    <w:p>
      <w:pPr>
        <w:spacing w:after="60"/>
      </w:pPr>
      <w:r>
        <w:rPr>
          <w:b/>
        </w:rPr>
        <w:t xml:space="preserve">Next.js image optimization overview: </w:t>
      </w:r>
      <w:hyperlink r:id="rId13">
        <w:r>
          <w:rPr>
            <w:color w:val="0F5E5A"/>
            <w:u w:val="single"/>
          </w:rPr>
          <w:t>https://nextjs.org/docs/app/getting-started/images</w:t>
        </w:r>
      </w:hyperlink>
    </w:p>
    <w:p>
      <w:pPr>
        <w:spacing w:after="60"/>
      </w:pPr>
      <w:r>
        <w:rPr>
          <w:b/>
        </w:rPr>
        <w:t xml:space="preserve">Next.js metadata and OG images: </w:t>
      </w:r>
      <w:hyperlink r:id="rId14">
        <w:r>
          <w:rPr>
            <w:color w:val="0F5E5A"/>
            <w:u w:val="single"/>
          </w:rPr>
          <w:t>https://nextjs.org/docs/app/getting-started/metadata-and-og-images</w:t>
        </w:r>
      </w:hyperlink>
    </w:p>
    <w:p>
      <w:pPr>
        <w:spacing w:after="60"/>
      </w:pPr>
      <w:r>
        <w:rPr>
          <w:b/>
        </w:rPr>
        <w:t xml:space="preserve">Web Content Accessibility Guidelines 2.2: </w:t>
      </w:r>
      <w:hyperlink r:id="rId15">
        <w:r>
          <w:rPr>
            <w:color w:val="0F5E5A"/>
            <w:u w:val="single"/>
          </w:rPr>
          <w:t>https://www.w3.org/TR/WCAG22/</w:t>
        </w:r>
      </w:hyperlink>
    </w:p>
    <w:p>
      <w:pPr>
        <w:spacing w:after="60"/>
      </w:pPr>
      <w:r>
        <w:rPr>
          <w:b/>
        </w:rPr>
        <w:t xml:space="preserve">Core Web Vitals: </w:t>
      </w:r>
      <w:hyperlink r:id="rId16">
        <w:r>
          <w:rPr>
            <w:color w:val="0F5E5A"/>
            <w:u w:val="single"/>
          </w:rPr>
          <w:t>https://web.dev/articles/vitals</w:t>
        </w:r>
      </w:hyperlink>
    </w:p>
    <w:p>
      <w:pPr>
        <w:spacing w:after="60"/>
      </w:pPr>
      <w:r>
        <w:rPr>
          <w:b/>
        </w:rPr>
        <w:t xml:space="preserve">Google multilingual site guidance: </w:t>
      </w:r>
      <w:hyperlink r:id="rId17">
        <w:r>
          <w:rPr>
            <w:color w:val="0F5E5A"/>
            <w:u w:val="single"/>
          </w:rPr>
          <w:t>https://developers.google.com/search/docs/specialty/international/localized-versions</w:t>
        </w:r>
      </w:hyperlink>
    </w:p>
    <w:p>
      <w:pPr>
        <w:pStyle w:val="SmallNote"/>
      </w:pPr>
      <w:r>
        <w:t>This handoff prioritizes improvements by user and operational impact. Final legal, clinical, privacy, and accessibility sign-off must come from the relevant qualified owners.</w:t>
      </w:r>
    </w:p>
    <w:sectPr w:rsidR="00FC693F" w:rsidRPr="0006063C" w:rsidSect="00034616">
      <w:headerReference w:type="default" r:id="rId9"/>
      <w:headerReference w:type="even" r:id="rId10"/>
      <w:footerReference w:type="default" r:id="rId11"/>
      <w:footerReference w:type="even" r:id="rId12"/>
      <w:pgSz w:w="12240" w:h="15840"/>
      <w:pgMar w:top="1181" w:right="1325" w:bottom="1080"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PRODUCT / 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PRODUCT /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720"/>
        </w:tabs>
        <w:ind w:left="720" w:hanging="360"/>
      </w:pPr>
    </w:lvl>
  </w:abstractNum>
  <w:abstractNum w:abstractNumId="10">
    <w:multiLevelType w:val="singleLevel"/>
    <w:lvl w:ilvl="0">
      <w:start w:val="1"/>
      <w:numFmt w:val="decimal"/>
      <w:lvlText w:val="%1."/>
      <w:suff w:val="space"/>
      <w:pPr>
        <w:tabs>
          <w:tab w:val="num" w:pos="720"/>
        </w:tabs>
        <w:ind w:left="720" w:hanging="360"/>
      </w:pPr>
    </w:lvl>
  </w:abstract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5E5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F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56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F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D7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80" w:line="252" w:lineRule="auto"/>
      <w:ind w:left="259" w:right="72"/>
    </w:pPr>
    <w:rPr>
      <w:rFonts w:ascii="Consolas" w:hAnsi="Consolas"/>
      <w:color w:val="5E6D72"/>
      <w:sz w:val="17"/>
    </w:rPr>
  </w:style>
  <w:style w:type="paragraph" w:customStyle="1" w:styleId="TableText">
    <w:name w:val="Table Text"/>
    <w:pPr>
      <w:spacing w:after="40" w:line="252" w:lineRule="auto"/>
    </w:pPr>
    <w:rPr>
      <w:rFonts w:ascii="Calibri" w:hAnsi="Calibri"/>
      <w:color w:val="243238"/>
      <w:sz w:val="17"/>
    </w:rPr>
  </w:style>
  <w:style w:type="paragraph" w:customStyle="1" w:styleId="SmallNote">
    <w:name w:val="Small Note"/>
    <w:pPr>
      <w:spacing w:after="80"/>
    </w:pPr>
    <w:rPr>
      <w:rFonts w:ascii="Calibri" w:hAnsi="Calibri"/>
      <w:i/>
      <w:color w:val="5E6D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nextjs.org/docs/app/getting-started/images" TargetMode="External"/><Relationship Id="rId14" Type="http://schemas.openxmlformats.org/officeDocument/2006/relationships/hyperlink" Target="https://nextjs.org/docs/app/getting-started/metadata-and-og-images" TargetMode="External"/><Relationship Id="rId15" Type="http://schemas.openxmlformats.org/officeDocument/2006/relationships/hyperlink" Target="https://www.w3.org/TR/WCAG22/" TargetMode="External"/><Relationship Id="rId16" Type="http://schemas.openxmlformats.org/officeDocument/2006/relationships/hyperlink" Target="https://web.dev/articles/vitals" TargetMode="External"/><Relationship Id="rId17" Type="http://schemas.openxmlformats.org/officeDocument/2006/relationships/hyperlink" Target="https://developers.google.com/search/docs/specialty/international/localized-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UX, and Efficiency Enhancement Handoff</dc:title>
  <dc:subject>Accessibility, localization, performance, SEO, content operations, and product roadmap</dc:subject>
  <dc:creator>Codex audit handoff</dc:creator>
  <cp:keywords>security, code review, handoff, Smart Surgical Team</cp:keywords>
  <dc:description>generated by python-docx</dc:description>
  <cp:lastModifiedBy/>
  <cp:revision>1</cp:revision>
  <dcterms:created xsi:type="dcterms:W3CDTF">2013-12-23T23:15:00Z</dcterms:created>
  <dcterms:modified xsi:type="dcterms:W3CDTF">2013-12-23T23:15:00Z</dcterms:modified>
  <cp:category/>
</cp:coreProperties>
</file>