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B56A3A"/>
          <w:sz w:val="18"/>
        </w:rPr>
        <w:t>SMART SURGICAL TEAM</w:t>
      </w:r>
    </w:p>
    <w:p>
      <w:pPr>
        <w:pStyle w:val="Title"/>
      </w:pPr>
      <w:r>
        <w:t>Security Audit Handoff</w:t>
      </w:r>
    </w:p>
    <w:p>
      <w:pPr>
        <w:pStyle w:val="Subtitle"/>
      </w:pPr>
      <w:r>
        <w:t>Authorization, data protection, application security, dependencies, and remediation plan</w:t>
      </w:r>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1250"/>
        <w:gridCol w:w="3430"/>
        <w:gridCol w:w="1250"/>
        <w:gridCol w:w="3430"/>
      </w:tblGrid>
      <w:tr>
        <w:tc>
          <w:tcPr>
            <w:tcW w:type="dxa" w:w="1250"/>
            <w:shd w:fill="E7F1EF"/>
            <w:tcMar>
              <w:top w:w="80" w:type="dxa"/>
              <w:start w:w="120" w:type="dxa"/>
              <w:bottom w:w="80" w:type="dxa"/>
              <w:end w:w="120" w:type="dxa"/>
            </w:tcMar>
            <w:vAlign w:val="center"/>
          </w:tcPr>
          <w:p>
            <w:pPr>
              <w:pStyle w:val="TableText"/>
            </w:pPr>
            <w:r>
              <w:rPr>
                <w:b/>
                <w:color w:val="123F3D"/>
              </w:rPr>
              <w:t>Status</w:t>
            </w:r>
          </w:p>
        </w:tc>
        <w:tc>
          <w:tcPr>
            <w:tcW w:type="dxa" w:w="3430"/>
            <w:tcMar>
              <w:top w:w="80" w:type="dxa"/>
              <w:start w:w="120" w:type="dxa"/>
              <w:bottom w:w="80" w:type="dxa"/>
              <w:end w:w="120" w:type="dxa"/>
            </w:tcMar>
            <w:vAlign w:val="center"/>
          </w:tcPr>
          <w:p>
            <w:pPr>
              <w:pStyle w:val="TableText"/>
            </w:pPr>
            <w:r>
              <w:t>Read-only assessment</w:t>
            </w:r>
          </w:p>
        </w:tc>
        <w:tc>
          <w:tcPr>
            <w:tcW w:type="dxa" w:w="1250"/>
            <w:shd w:fill="E7F1EF"/>
            <w:tcMar>
              <w:top w:w="80" w:type="dxa"/>
              <w:start w:w="120" w:type="dxa"/>
              <w:bottom w:w="80" w:type="dxa"/>
              <w:end w:w="120" w:type="dxa"/>
            </w:tcMar>
            <w:vAlign w:val="center"/>
          </w:tcPr>
          <w:p>
            <w:pPr>
              <w:pStyle w:val="TableText"/>
            </w:pPr>
            <w:r>
              <w:rPr>
                <w:b/>
                <w:color w:val="123F3D"/>
              </w:rPr>
              <w:t>Reviewed</w:t>
            </w:r>
          </w:p>
        </w:tc>
        <w:tc>
          <w:tcPr>
            <w:tcW w:type="dxa" w:w="3430"/>
            <w:tcMar>
              <w:top w:w="80" w:type="dxa"/>
              <w:start w:w="120" w:type="dxa"/>
              <w:bottom w:w="80" w:type="dxa"/>
              <w:end w:w="120" w:type="dxa"/>
            </w:tcMar>
            <w:vAlign w:val="center"/>
          </w:tcPr>
          <w:p>
            <w:pPr>
              <w:pStyle w:val="TableText"/>
            </w:pPr>
            <w:r>
              <w:t>8 August 2026</w:t>
            </w:r>
          </w:p>
        </w:tc>
      </w:tr>
      <w:tr>
        <w:tc>
          <w:tcPr>
            <w:tcW w:type="dxa" w:w="1250"/>
            <w:shd w:fill="E7F1EF"/>
            <w:tcMar>
              <w:top w:w="80" w:type="dxa"/>
              <w:start w:w="120" w:type="dxa"/>
              <w:bottom w:w="80" w:type="dxa"/>
              <w:end w:w="120" w:type="dxa"/>
            </w:tcMar>
            <w:vAlign w:val="center"/>
          </w:tcPr>
          <w:p>
            <w:pPr>
              <w:pStyle w:val="TableText"/>
            </w:pPr>
            <w:r>
              <w:rPr>
                <w:b/>
                <w:color w:val="123F3D"/>
              </w:rPr>
              <w:t>Repository</w:t>
            </w:r>
          </w:p>
        </w:tc>
        <w:tc>
          <w:tcPr>
            <w:tcW w:type="dxa" w:w="3430"/>
            <w:tcMar>
              <w:top w:w="80" w:type="dxa"/>
              <w:start w:w="120" w:type="dxa"/>
              <w:bottom w:w="80" w:type="dxa"/>
              <w:end w:w="120" w:type="dxa"/>
            </w:tcMar>
            <w:vAlign w:val="center"/>
          </w:tcPr>
          <w:p>
            <w:pPr>
              <w:pStyle w:val="TableText"/>
            </w:pPr>
            <w:r>
              <w:t>f7ea7b2 (main)</w:t>
            </w:r>
          </w:p>
        </w:tc>
        <w:tc>
          <w:tcPr>
            <w:tcW w:type="dxa" w:w="1250"/>
            <w:shd w:fill="E7F1EF"/>
            <w:tcMar>
              <w:top w:w="80" w:type="dxa"/>
              <w:start w:w="120" w:type="dxa"/>
              <w:bottom w:w="80" w:type="dxa"/>
              <w:end w:w="120" w:type="dxa"/>
            </w:tcMar>
            <w:vAlign w:val="center"/>
          </w:tcPr>
          <w:p>
            <w:pPr>
              <w:pStyle w:val="TableText"/>
            </w:pPr>
            <w:r>
              <w:rPr>
                <w:b/>
                <w:color w:val="123F3D"/>
              </w:rPr>
              <w:t>Audience</w:t>
            </w:r>
          </w:p>
        </w:tc>
        <w:tc>
          <w:tcPr>
            <w:tcW w:type="dxa" w:w="3430"/>
            <w:tcMar>
              <w:top w:w="80" w:type="dxa"/>
              <w:start w:w="120" w:type="dxa"/>
              <w:bottom w:w="80" w:type="dxa"/>
              <w:end w:w="120" w:type="dxa"/>
            </w:tcMar>
            <w:vAlign w:val="center"/>
          </w:tcPr>
          <w:p>
            <w:pPr>
              <w:pStyle w:val="TableText"/>
            </w:pPr>
            <w:r>
              <w:t>Engineering, product, operations</w:t>
            </w:r>
          </w:p>
        </w:tc>
      </w:tr>
      <w:tr>
        <w:tc>
          <w:tcPr>
            <w:tcW w:type="dxa" w:w="1250"/>
            <w:shd w:fill="E7F1EF"/>
            <w:tcMar>
              <w:top w:w="80" w:type="dxa"/>
              <w:start w:w="120" w:type="dxa"/>
              <w:bottom w:w="80" w:type="dxa"/>
              <w:end w:w="120" w:type="dxa"/>
            </w:tcMar>
            <w:vAlign w:val="center"/>
          </w:tcPr>
          <w:p>
            <w:pPr>
              <w:pStyle w:val="TableText"/>
            </w:pPr>
            <w:r>
              <w:rPr>
                <w:b/>
                <w:color w:val="123F3D"/>
              </w:rPr>
              <w:t>Change policy</w:t>
            </w:r>
          </w:p>
        </w:tc>
        <w:tc>
          <w:tcPr>
            <w:tcW w:type="dxa" w:w="3430"/>
            <w:tcMar>
              <w:top w:w="80" w:type="dxa"/>
              <w:start w:w="120" w:type="dxa"/>
              <w:bottom w:w="80" w:type="dxa"/>
              <w:end w:w="120" w:type="dxa"/>
            </w:tcMar>
            <w:vAlign w:val="center"/>
          </w:tcPr>
          <w:p>
            <w:pPr>
              <w:pStyle w:val="TableText"/>
            </w:pPr>
            <w:r>
              <w:t>No application changes made</w:t>
            </w:r>
          </w:p>
        </w:tc>
        <w:tc>
          <w:tcPr>
            <w:tcW w:type="dxa" w:w="1250"/>
            <w:shd w:fill="E7F1EF"/>
            <w:tcMar>
              <w:top w:w="80" w:type="dxa"/>
              <w:start w:w="120" w:type="dxa"/>
              <w:bottom w:w="80" w:type="dxa"/>
              <w:end w:w="120" w:type="dxa"/>
            </w:tcMar>
            <w:vAlign w:val="center"/>
          </w:tcPr>
          <w:p>
            <w:pPr>
              <w:pStyle w:val="TableText"/>
            </w:pPr>
            <w:r>
              <w:rPr>
                <w:b/>
                <w:color w:val="123F3D"/>
              </w:rPr>
              <w:t>Confidence</w:t>
            </w:r>
          </w:p>
        </w:tc>
        <w:tc>
          <w:tcPr>
            <w:tcW w:type="dxa" w:w="3430"/>
            <w:tcMar>
              <w:top w:w="80" w:type="dxa"/>
              <w:start w:w="120" w:type="dxa"/>
              <w:bottom w:w="80" w:type="dxa"/>
              <w:end w:w="120" w:type="dxa"/>
            </w:tcMar>
            <w:vAlign w:val="center"/>
          </w:tcPr>
          <w:p>
            <w:pPr>
              <w:pStyle w:val="TableText"/>
            </w:pPr>
            <w:r>
              <w:t>Evidence-based; no destructive testing</w:t>
            </w:r>
          </w:p>
        </w:tc>
      </w:tr>
    </w:tbl>
    <w:p/>
    <w:tbl>
      <w:tblPr>
        <w:tblW w:type="dxa" w:w="9360"/>
        <w:jc w:val="center"/>
        <w:tblLayout w:type="fixed"/>
        <w:tblLook w:firstColumn="1" w:firstRow="1" w:lastColumn="0" w:lastRow="0" w:noHBand="0" w:noVBand="1" w:val="04A0"/>
        <w:tblInd w:w="0" w:type="dxa"/>
        <w:tblBorders>
          <w:top w:val="single" w:sz="4" w:space="0" w:color="FBE9E7"/>
          <w:left w:val="single" w:sz="4" w:space="0" w:color="FBE9E7"/>
          <w:bottom w:val="single" w:sz="4" w:space="0" w:color="FBE9E7"/>
          <w:right w:val="single" w:sz="4" w:space="0" w:color="FBE9E7"/>
          <w:insideH w:val="single" w:sz="4" w:space="0" w:color="FBE9E7"/>
          <w:insideV w:val="single" w:sz="4" w:space="0" w:color="FBE9E7"/>
        </w:tblBorders>
      </w:tblPr>
      <w:tblGrid>
        <w:gridCol w:w="9360"/>
      </w:tblGrid>
      <w:tr>
        <w:tc>
          <w:tcPr>
            <w:tcW w:type="dxa" w:w="9360"/>
            <w:shd w:fill="FBE9E7"/>
            <w:tcMar>
              <w:top w:w="80" w:type="dxa"/>
              <w:start w:w="120" w:type="dxa"/>
              <w:bottom w:w="80" w:type="dxa"/>
              <w:end w:w="120" w:type="dxa"/>
            </w:tcMar>
            <w:vAlign w:val="center"/>
          </w:tcPr>
          <w:p>
            <w:pPr>
              <w:spacing w:after="40"/>
            </w:pPr>
            <w:r>
              <w:rPr>
                <w:b/>
                <w:color w:val="123F3D"/>
              </w:rPr>
              <w:t>Immediate decision required</w:t>
            </w:r>
          </w:p>
          <w:p>
            <w:pPr>
              <w:spacing w:after="0"/>
            </w:pPr>
            <w:r>
              <w:t>A signed-in user can update the role field on their own public profile row. Because server-side admin authorization trusts that field, this creates a credible path to self-promote to owner and gain administrative write access. Treat this as a critical production issue and prioritize the emergency migration in Finding S-01.</w:t>
            </w:r>
          </w:p>
        </w:tc>
      </w:tr>
    </w:tbl>
    <w:p>
      <w:pPr>
        <w:spacing w:after="0"/>
      </w:pPr>
    </w:p>
    <w:p>
      <w:bookmarkStart w:id="1" w:name="section_1"/>
      <w:pPr>
        <w:pStyle w:val="Heading1"/>
      </w:pPr>
      <w:r>
        <w:t>Executive summary</w:t>
      </w:r>
      <w:bookmarkEnd w:id="1"/>
    </w:p>
    <w:p>
      <w:r>
        <w:t>The reviewed implementation has several sound security foundations, but its current authorization model contains one critical defect that dominates the risk posture. Row-level security allows a user to update their own profile row, and the same row contains the authoritative role consumed by the server. Supabase row-level security limits rows, not columns; absent column privileges, an authenticated user can directly request a role change through the REST API. The application then treats that new role as trusted administrative authority.</w:t>
      </w:r>
    </w:p>
    <w:p>
      <w:r>
        <w:t>The dependency snapshot also reports 18 known vulnerabilities (16 high, 2 low), including advisories affecting Next.js request routing, React Server Components, Vite on Windows, Wrangler/Miniflare transitive packages, and Vinext. Separately, member-only media is delivered through a stable unauthenticated R2 endpoint, uploads rely on browser-reported MIME types, and no application-level security-header policy or visible rate-limiting configuration was found.</w:t>
      </w:r>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1350"/>
        <w:gridCol w:w="850"/>
        <w:gridCol w:w="7160"/>
      </w:tblGrid>
      <w:tr>
        <w:trPr>
          <w:tblHeader w:val="true"/>
        </w:trPr>
        <w:tc>
          <w:tcPr>
            <w:tcW w:type="dxa" w:w="1350"/>
            <w:shd w:fill="0F5E5A"/>
            <w:tcMar>
              <w:top w:w="80" w:type="dxa"/>
              <w:start w:w="120" w:type="dxa"/>
              <w:bottom w:w="80" w:type="dxa"/>
              <w:end w:w="120" w:type="dxa"/>
            </w:tcMar>
            <w:vAlign w:val="center"/>
          </w:tcPr>
          <w:p>
            <w:pPr>
              <w:pStyle w:val="TableText"/>
            </w:pPr>
            <w:r>
              <w:rPr>
                <w:b/>
                <w:color w:val="FFFFFF"/>
              </w:rPr>
              <w:t>Risk band</w:t>
            </w:r>
          </w:p>
        </w:tc>
        <w:tc>
          <w:tcPr>
            <w:tcW w:type="dxa" w:w="850"/>
            <w:shd w:fill="0F5E5A"/>
            <w:tcMar>
              <w:top w:w="80" w:type="dxa"/>
              <w:start w:w="120" w:type="dxa"/>
              <w:bottom w:w="80" w:type="dxa"/>
              <w:end w:w="120" w:type="dxa"/>
            </w:tcMar>
            <w:vAlign w:val="center"/>
          </w:tcPr>
          <w:p>
            <w:pPr>
              <w:pStyle w:val="TableText"/>
            </w:pPr>
            <w:r>
              <w:rPr>
                <w:b/>
                <w:color w:val="FFFFFF"/>
              </w:rPr>
              <w:t>Count</w:t>
            </w:r>
          </w:p>
        </w:tc>
        <w:tc>
          <w:tcPr>
            <w:tcW w:type="dxa" w:w="7160"/>
            <w:shd w:fill="0F5E5A"/>
            <w:tcMar>
              <w:top w:w="80" w:type="dxa"/>
              <w:start w:w="120" w:type="dxa"/>
              <w:bottom w:w="80" w:type="dxa"/>
              <w:end w:w="120" w:type="dxa"/>
            </w:tcMar>
            <w:vAlign w:val="center"/>
          </w:tcPr>
          <w:p>
            <w:pPr>
              <w:pStyle w:val="TableText"/>
            </w:pPr>
            <w:r>
              <w:rPr>
                <w:b/>
                <w:color w:val="FFFFFF"/>
              </w:rPr>
              <w:t>Management interpretation</w:t>
            </w:r>
          </w:p>
        </w:tc>
      </w:tr>
      <w:tr>
        <w:tc>
          <w:tcPr>
            <w:tcW w:type="dxa" w:w="1350"/>
            <w:shd w:fill="E7F1EF"/>
            <w:tcMar>
              <w:top w:w="80" w:type="dxa"/>
              <w:start w:w="120" w:type="dxa"/>
              <w:bottom w:w="80" w:type="dxa"/>
              <w:end w:w="120" w:type="dxa"/>
            </w:tcMar>
            <w:vAlign w:val="center"/>
          </w:tcPr>
          <w:p>
            <w:pPr>
              <w:pStyle w:val="TableText"/>
            </w:pPr>
            <w:r>
              <w:rPr>
                <w:b/>
              </w:rPr>
              <w:t>Critical</w:t>
            </w:r>
          </w:p>
        </w:tc>
        <w:tc>
          <w:tcPr>
            <w:tcW w:type="dxa" w:w="850"/>
            <w:tcMar>
              <w:top w:w="80" w:type="dxa"/>
              <w:start w:w="120" w:type="dxa"/>
              <w:bottom w:w="80" w:type="dxa"/>
              <w:end w:w="120" w:type="dxa"/>
            </w:tcMar>
            <w:vAlign w:val="center"/>
          </w:tcPr>
          <w:p>
            <w:pPr>
              <w:pStyle w:val="TableText"/>
            </w:pPr>
            <w:r>
              <w:t>1</w:t>
            </w:r>
          </w:p>
        </w:tc>
        <w:tc>
          <w:tcPr>
            <w:tcW w:type="dxa" w:w="7160"/>
            <w:tcMar>
              <w:top w:w="80" w:type="dxa"/>
              <w:start w:w="120" w:type="dxa"/>
              <w:bottom w:w="80" w:type="dxa"/>
              <w:end w:w="120" w:type="dxa"/>
            </w:tcMar>
            <w:vAlign w:val="center"/>
          </w:tcPr>
          <w:p>
            <w:pPr>
              <w:pStyle w:val="TableText"/>
            </w:pPr>
            <w:r>
              <w:t>Credible privilege escalation; remediate and investigate immediately.</w:t>
            </w:r>
          </w:p>
        </w:tc>
      </w:tr>
      <w:tr>
        <w:tc>
          <w:tcPr>
            <w:tcW w:type="dxa" w:w="1350"/>
            <w:shd w:fill="E7F1EF"/>
            <w:tcMar>
              <w:top w:w="80" w:type="dxa"/>
              <w:start w:w="120" w:type="dxa"/>
              <w:bottom w:w="80" w:type="dxa"/>
              <w:end w:w="120" w:type="dxa"/>
            </w:tcMar>
            <w:vAlign w:val="center"/>
          </w:tcPr>
          <w:p>
            <w:pPr>
              <w:pStyle w:val="TableText"/>
            </w:pPr>
            <w:r>
              <w:rPr>
                <w:b/>
              </w:rPr>
              <w:t>High</w:t>
            </w:r>
          </w:p>
        </w:tc>
        <w:tc>
          <w:tcPr>
            <w:tcW w:type="dxa" w:w="850"/>
            <w:tcMar>
              <w:top w:w="80" w:type="dxa"/>
              <w:start w:w="120" w:type="dxa"/>
              <w:bottom w:w="80" w:type="dxa"/>
              <w:end w:w="120" w:type="dxa"/>
            </w:tcMar>
            <w:vAlign w:val="center"/>
          </w:tcPr>
          <w:p>
            <w:pPr>
              <w:pStyle w:val="TableText"/>
            </w:pPr>
            <w:r>
              <w:t>4</w:t>
            </w:r>
          </w:p>
        </w:tc>
        <w:tc>
          <w:tcPr>
            <w:tcW w:type="dxa" w:w="7160"/>
            <w:tcMar>
              <w:top w:w="80" w:type="dxa"/>
              <w:start w:w="120" w:type="dxa"/>
              <w:bottom w:w="80" w:type="dxa"/>
              <w:end w:w="120" w:type="dxa"/>
            </w:tcMar>
            <w:vAlign w:val="center"/>
          </w:tcPr>
          <w:p>
            <w:pPr>
              <w:pStyle w:val="TableText"/>
            </w:pPr>
            <w:r>
              <w:t>Material exposure or known vulnerable runtime; schedule within the emergency / 7-day window.</w:t>
            </w:r>
          </w:p>
        </w:tc>
      </w:tr>
      <w:tr>
        <w:tc>
          <w:tcPr>
            <w:tcW w:type="dxa" w:w="1350"/>
            <w:shd w:fill="E7F1EF"/>
            <w:tcMar>
              <w:top w:w="80" w:type="dxa"/>
              <w:start w:w="120" w:type="dxa"/>
              <w:bottom w:w="80" w:type="dxa"/>
              <w:end w:w="120" w:type="dxa"/>
            </w:tcMar>
            <w:vAlign w:val="center"/>
          </w:tcPr>
          <w:p>
            <w:pPr>
              <w:pStyle w:val="TableText"/>
            </w:pPr>
            <w:r>
              <w:rPr>
                <w:b/>
              </w:rPr>
              <w:t>Medium</w:t>
            </w:r>
          </w:p>
        </w:tc>
        <w:tc>
          <w:tcPr>
            <w:tcW w:type="dxa" w:w="850"/>
            <w:tcMar>
              <w:top w:w="80" w:type="dxa"/>
              <w:start w:w="120" w:type="dxa"/>
              <w:bottom w:w="80" w:type="dxa"/>
              <w:end w:w="120" w:type="dxa"/>
            </w:tcMar>
            <w:vAlign w:val="center"/>
          </w:tcPr>
          <w:p>
            <w:pPr>
              <w:pStyle w:val="TableText"/>
            </w:pPr>
            <w:r>
              <w:t>8</w:t>
            </w:r>
          </w:p>
        </w:tc>
        <w:tc>
          <w:tcPr>
            <w:tcW w:type="dxa" w:w="7160"/>
            <w:tcMar>
              <w:top w:w="80" w:type="dxa"/>
              <w:start w:w="120" w:type="dxa"/>
              <w:bottom w:w="80" w:type="dxa"/>
              <w:end w:w="120" w:type="dxa"/>
            </w:tcMar>
            <w:vAlign w:val="center"/>
          </w:tcPr>
          <w:p>
            <w:pPr>
              <w:pStyle w:val="TableText"/>
            </w:pPr>
            <w:r>
              <w:t>Defense-in-depth or abuse-resistance gap; close in the 30-day hardening cycle.</w:t>
            </w:r>
          </w:p>
        </w:tc>
      </w:tr>
      <w:tr>
        <w:tc>
          <w:tcPr>
            <w:tcW w:type="dxa" w:w="1350"/>
            <w:shd w:fill="E7F1EF"/>
            <w:tcMar>
              <w:top w:w="80" w:type="dxa"/>
              <w:start w:w="120" w:type="dxa"/>
              <w:bottom w:w="80" w:type="dxa"/>
              <w:end w:w="120" w:type="dxa"/>
            </w:tcMar>
            <w:vAlign w:val="center"/>
          </w:tcPr>
          <w:p>
            <w:pPr>
              <w:pStyle w:val="TableText"/>
            </w:pPr>
            <w:r>
              <w:rPr>
                <w:b/>
              </w:rPr>
              <w:t>Low</w:t>
            </w:r>
          </w:p>
        </w:tc>
        <w:tc>
          <w:tcPr>
            <w:tcW w:type="dxa" w:w="850"/>
            <w:tcMar>
              <w:top w:w="80" w:type="dxa"/>
              <w:start w:w="120" w:type="dxa"/>
              <w:bottom w:w="80" w:type="dxa"/>
              <w:end w:w="120" w:type="dxa"/>
            </w:tcMar>
            <w:vAlign w:val="center"/>
          </w:tcPr>
          <w:p>
            <w:pPr>
              <w:pStyle w:val="TableText"/>
            </w:pPr>
            <w:r>
              <w:t>3</w:t>
            </w:r>
          </w:p>
        </w:tc>
        <w:tc>
          <w:tcPr>
            <w:tcW w:type="dxa" w:w="7160"/>
            <w:tcMar>
              <w:top w:w="80" w:type="dxa"/>
              <w:start w:w="120" w:type="dxa"/>
              <w:bottom w:w="80" w:type="dxa"/>
              <w:end w:w="120" w:type="dxa"/>
            </w:tcMar>
            <w:vAlign w:val="center"/>
          </w:tcPr>
          <w:p>
            <w:pPr>
              <w:pStyle w:val="TableText"/>
            </w:pPr>
            <w:r>
              <w:t>Reduce information exposure, fragility, and operational ambiguity.</w:t>
            </w:r>
          </w:p>
        </w:tc>
      </w:tr>
    </w:tbl>
    <w:p>
      <w:pPr>
        <w:spacing w:after="0"/>
      </w:pPr>
    </w:p>
    <w:p>
      <w:bookmarkStart w:id="2" w:name="section_2"/>
      <w:pPr>
        <w:pStyle w:val="Heading1"/>
      </w:pPr>
      <w:r>
        <w:t>Recommended priority</w:t>
      </w:r>
      <w:bookmarkEnd w:id="2"/>
    </w:p>
    <w:p>
      <w:pPr>
        <w:numPr>
          <w:ilvl w:val="0"/>
          <w:numId w:val="10"/>
        </w:numPr>
        <w:keepLines/>
        <w:spacing w:after="80"/>
      </w:pPr>
      <w:r>
        <w:t>Block client updates to role-bearing profile columns and audit all current privileged accounts.</w:t>
      </w:r>
    </w:p>
    <w:p>
      <w:pPr>
        <w:numPr>
          <w:ilvl w:val="0"/>
          <w:numId w:val="10"/>
        </w:numPr>
        <w:keepLines/>
        <w:spacing w:after="80"/>
      </w:pPr>
      <w:r>
        <w:t>Upgrade the vulnerable runtime dependency set through a controlled branch and full deployment test.</w:t>
      </w:r>
    </w:p>
    <w:p>
      <w:pPr>
        <w:numPr>
          <w:ilvl w:val="0"/>
          <w:numId w:val="10"/>
        </w:numPr>
        <w:keepLines/>
        <w:spacing w:after="80"/>
      </w:pPr>
      <w:r>
        <w:t>Put protected media behind authenticated, relationship-aware access checks and short-lived delivery controls.</w:t>
      </w:r>
    </w:p>
    <w:p>
      <w:pPr>
        <w:numPr>
          <w:ilvl w:val="0"/>
          <w:numId w:val="10"/>
        </w:numPr>
        <w:keepLines/>
        <w:spacing w:after="80"/>
      </w:pPr>
      <w:r>
        <w:t>Constrain contributor/editor access by record ownership or assignment; stop accepting arbitrary storage keys.</w:t>
      </w:r>
    </w:p>
    <w:p>
      <w:pPr>
        <w:numPr>
          <w:ilvl w:val="0"/>
          <w:numId w:val="10"/>
        </w:numPr>
        <w:keepLines/>
        <w:spacing w:after="80"/>
      </w:pPr>
      <w:r>
        <w:t>Add upload-content validation, security headers, rate limits, staff MFA, audit logging, and security regression tests.</w:t>
      </w:r>
    </w:p>
    <w:p>
      <w:bookmarkStart w:id="3" w:name="section_3"/>
      <w:pPr>
        <w:pStyle w:val="Heading1"/>
      </w:pPr>
      <w:r>
        <w:t>Scope, method, and limitations</w:t>
      </w:r>
      <w:bookmarkEnd w:id="3"/>
    </w:p>
    <w:p>
      <w:r>
        <w:t>The assessment was read-only and covered tracked application code, SQL migrations, configuration, package metadata, local repository state, generated deployment artifacts, and current public advisories. It used static code review, targeted repository searches, TypeScript compilation, linting, existing route tests, dependency audit output, and focused architecture tracing from request entry points to Supabase and Cloudflare R2.</w:t>
      </w:r>
    </w:p>
    <w:p>
      <w:pPr>
        <w:numPr>
          <w:ilvl w:val="0"/>
          <w:numId w:val="11"/>
        </w:numPr>
        <w:keepLines/>
        <w:spacing w:after="80"/>
      </w:pPr>
      <w:r>
        <w:t>In scope: Next.js/Vinext routes and components, Supabase authorization and migrations, R2 delivery/upload paths, authentication and staff-role checks, dependency exposure, secrets posture, browser security policy, abuse resistance, and administrative accountability.</w:t>
      </w:r>
    </w:p>
    <w:p>
      <w:pPr>
        <w:numPr>
          <w:ilvl w:val="0"/>
          <w:numId w:val="11"/>
        </w:numPr>
        <w:keepLines/>
        <w:spacing w:after="80"/>
      </w:pPr>
      <w:r>
        <w:t>Not performed: destructive testing, exploitation against a deployed environment, external infrastructure enumeration, source-history rewriting, credential rotation, database mutation, WAF inspection in the Cloudflare dashboard, or a fresh production build that would modify generated outputs.</w:t>
      </w:r>
    </w:p>
    <w:p>
      <w:pPr>
        <w:numPr>
          <w:ilvl w:val="0"/>
          <w:numId w:val="11"/>
        </w:numPr>
        <w:keepLines/>
        <w:spacing w:after="80"/>
      </w:pPr>
      <w:r>
        <w:t>Test status: TypeScript compilation passed. Existing route checks passed 16/16 against the already-built dist output. Lint exited successfully with warnings. No current tracked secret-pattern match was found. These results do not negate authorization and design findings.</w:t>
      </w:r>
    </w:p>
    <w:p>
      <w:pPr>
        <w:numPr>
          <w:ilvl w:val="0"/>
          <w:numId w:val="11"/>
        </w:numPr>
        <w:keepLines/>
        <w:spacing w:after="80"/>
      </w:pPr>
      <w:r>
        <w:t>Confidence terms: Confirmed means directly demonstrated in code/configuration; High means the control path is clear and supported by vendor behavior; Medium means deployment state or runtime configuration can change the impact.</w:t>
      </w:r>
    </w:p>
    <w:tbl>
      <w:tblPr>
        <w:tblW w:type="dxa" w:w="9360"/>
        <w:jc w:val="center"/>
        <w:tblLayout w:type="fixed"/>
        <w:tblLook w:firstColumn="1" w:firstRow="1" w:lastColumn="0" w:lastRow="0" w:noHBand="0" w:noVBand="1" w:val="04A0"/>
        <w:tblInd w:w="0" w:type="dxa"/>
        <w:tblBorders>
          <w:top w:val="single" w:sz="4" w:space="0" w:color="FFF4D8"/>
          <w:left w:val="single" w:sz="4" w:space="0" w:color="FFF4D8"/>
          <w:bottom w:val="single" w:sz="4" w:space="0" w:color="FFF4D8"/>
          <w:right w:val="single" w:sz="4" w:space="0" w:color="FFF4D8"/>
          <w:insideH w:val="single" w:sz="4" w:space="0" w:color="FFF4D8"/>
          <w:insideV w:val="single" w:sz="4" w:space="0" w:color="FFF4D8"/>
        </w:tblBorders>
      </w:tblPr>
      <w:tblGrid>
        <w:gridCol w:w="9360"/>
      </w:tblGrid>
      <w:tr>
        <w:tc>
          <w:tcPr>
            <w:tcW w:type="dxa" w:w="9360"/>
            <w:shd w:fill="FFF4D8"/>
            <w:tcMar>
              <w:top w:w="80" w:type="dxa"/>
              <w:start w:w="120" w:type="dxa"/>
              <w:bottom w:w="80" w:type="dxa"/>
              <w:end w:w="120" w:type="dxa"/>
            </w:tcMar>
            <w:vAlign w:val="center"/>
          </w:tcPr>
          <w:p>
            <w:pPr>
              <w:spacing w:after="40"/>
            </w:pPr>
            <w:r>
              <w:rPr>
                <w:b/>
                <w:color w:val="123F3D"/>
              </w:rPr>
              <w:t>Important limitation</w:t>
            </w:r>
          </w:p>
          <w:p>
            <w:pPr>
              <w:spacing w:after="0"/>
            </w:pPr>
            <w:r>
              <w:t>The Cloudflare and Supabase dashboards were not available in this source-only review. Rate limits, WAF rules, bucket access policies, email-confirmation settings, log retention, and MFA enforcement must be verified in the deployed environment.</w:t>
            </w:r>
          </w:p>
        </w:tc>
      </w:tr>
    </w:tbl>
    <w:p>
      <w:pPr>
        <w:spacing w:after="0"/>
      </w:pPr>
    </w:p>
    <w:p>
      <w:bookmarkStart w:id="4" w:name="section_4"/>
      <w:pPr>
        <w:pStyle w:val="Heading1"/>
      </w:pPr>
      <w:r>
        <w:t>System trust model reviewed</w:t>
      </w:r>
      <w:bookmarkEnd w:id="4"/>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1900"/>
        <w:gridCol w:w="3230"/>
        <w:gridCol w:w="4230"/>
      </w:tblGrid>
      <w:tr>
        <w:trPr>
          <w:tblHeader w:val="true"/>
        </w:trPr>
        <w:tc>
          <w:tcPr>
            <w:tcW w:type="dxa" w:w="1900"/>
            <w:shd w:fill="0F5E5A"/>
            <w:tcMar>
              <w:top w:w="80" w:type="dxa"/>
              <w:start w:w="120" w:type="dxa"/>
              <w:bottom w:w="80" w:type="dxa"/>
              <w:end w:w="120" w:type="dxa"/>
            </w:tcMar>
            <w:vAlign w:val="center"/>
          </w:tcPr>
          <w:p>
            <w:pPr>
              <w:pStyle w:val="TableText"/>
            </w:pPr>
            <w:r>
              <w:rPr>
                <w:b/>
                <w:color w:val="FFFFFF"/>
              </w:rPr>
              <w:t>Boundary</w:t>
            </w:r>
          </w:p>
        </w:tc>
        <w:tc>
          <w:tcPr>
            <w:tcW w:type="dxa" w:w="3230"/>
            <w:shd w:fill="0F5E5A"/>
            <w:tcMar>
              <w:top w:w="80" w:type="dxa"/>
              <w:start w:w="120" w:type="dxa"/>
              <w:bottom w:w="80" w:type="dxa"/>
              <w:end w:w="120" w:type="dxa"/>
            </w:tcMar>
            <w:vAlign w:val="center"/>
          </w:tcPr>
          <w:p>
            <w:pPr>
              <w:pStyle w:val="TableText"/>
            </w:pPr>
            <w:r>
              <w:rPr>
                <w:b/>
                <w:color w:val="FFFFFF"/>
              </w:rPr>
              <w:t>Current trust decision</w:t>
            </w:r>
          </w:p>
        </w:tc>
        <w:tc>
          <w:tcPr>
            <w:tcW w:type="dxa" w:w="4230"/>
            <w:shd w:fill="0F5E5A"/>
            <w:tcMar>
              <w:top w:w="80" w:type="dxa"/>
              <w:start w:w="120" w:type="dxa"/>
              <w:bottom w:w="80" w:type="dxa"/>
              <w:end w:w="120" w:type="dxa"/>
            </w:tcMar>
            <w:vAlign w:val="center"/>
          </w:tcPr>
          <w:p>
            <w:pPr>
              <w:pStyle w:val="TableText"/>
            </w:pPr>
            <w:r>
              <w:rPr>
                <w:b/>
                <w:color w:val="FFFFFF"/>
              </w:rPr>
              <w:t>Security concern</w:t>
            </w:r>
          </w:p>
        </w:tc>
      </w:tr>
      <w:tr>
        <w:tc>
          <w:tcPr>
            <w:tcW w:type="dxa" w:w="1900"/>
            <w:tcMar>
              <w:top w:w="80" w:type="dxa"/>
              <w:start w:w="120" w:type="dxa"/>
              <w:bottom w:w="80" w:type="dxa"/>
              <w:end w:w="120" w:type="dxa"/>
            </w:tcMar>
            <w:vAlign w:val="center"/>
          </w:tcPr>
          <w:p>
            <w:pPr>
              <w:pStyle w:val="TableText"/>
            </w:pPr>
            <w:r>
              <w:t>Browser -&gt; Supabase</w:t>
            </w:r>
          </w:p>
        </w:tc>
        <w:tc>
          <w:tcPr>
            <w:tcW w:type="dxa" w:w="3230"/>
            <w:tcMar>
              <w:top w:w="80" w:type="dxa"/>
              <w:start w:w="120" w:type="dxa"/>
              <w:bottom w:w="80" w:type="dxa"/>
              <w:end w:w="120" w:type="dxa"/>
            </w:tcMar>
            <w:vAlign w:val="center"/>
          </w:tcPr>
          <w:p>
            <w:pPr>
              <w:pStyle w:val="TableText"/>
            </w:pPr>
            <w:r>
              <w:t>Publishable key plus authenticated JWT; RLS governs rows.</w:t>
            </w:r>
          </w:p>
        </w:tc>
        <w:tc>
          <w:tcPr>
            <w:tcW w:type="dxa" w:w="4230"/>
            <w:tcMar>
              <w:top w:w="80" w:type="dxa"/>
              <w:start w:w="120" w:type="dxa"/>
              <w:bottom w:w="80" w:type="dxa"/>
              <w:end w:w="120" w:type="dxa"/>
            </w:tcMar>
            <w:vAlign w:val="center"/>
          </w:tcPr>
          <w:p>
            <w:pPr>
              <w:pStyle w:val="TableText"/>
            </w:pPr>
            <w:r>
              <w:t>Role-bearing profile is directly updateable by its owner unless column privileges are revoked.</w:t>
            </w:r>
          </w:p>
        </w:tc>
      </w:tr>
      <w:tr>
        <w:tc>
          <w:tcPr>
            <w:tcW w:type="dxa" w:w="1900"/>
            <w:tcMar>
              <w:top w:w="80" w:type="dxa"/>
              <w:start w:w="120" w:type="dxa"/>
              <w:bottom w:w="80" w:type="dxa"/>
              <w:end w:w="120" w:type="dxa"/>
            </w:tcMar>
            <w:vAlign w:val="center"/>
          </w:tcPr>
          <w:p>
            <w:pPr>
              <w:pStyle w:val="TableText"/>
            </w:pPr>
            <w:r>
              <w:t>Browser -&gt; admin API</w:t>
            </w:r>
          </w:p>
        </w:tc>
        <w:tc>
          <w:tcPr>
            <w:tcW w:type="dxa" w:w="3230"/>
            <w:tcMar>
              <w:top w:w="80" w:type="dxa"/>
              <w:start w:w="120" w:type="dxa"/>
              <w:bottom w:w="80" w:type="dxa"/>
              <w:end w:w="120" w:type="dxa"/>
            </w:tcMar>
            <w:vAlign w:val="center"/>
          </w:tcPr>
          <w:p>
            <w:pPr>
              <w:pStyle w:val="TableText"/>
            </w:pPr>
            <w:r>
              <w:t>Bearer token verified with Supabase; profile.role then checked with service role.</w:t>
            </w:r>
          </w:p>
        </w:tc>
        <w:tc>
          <w:tcPr>
            <w:tcW w:type="dxa" w:w="4230"/>
            <w:tcMar>
              <w:top w:w="80" w:type="dxa"/>
              <w:start w:w="120" w:type="dxa"/>
              <w:bottom w:w="80" w:type="dxa"/>
              <w:end w:w="120" w:type="dxa"/>
            </w:tcMar>
            <w:vAlign w:val="center"/>
          </w:tcPr>
          <w:p>
            <w:pPr>
              <w:pStyle w:val="TableText"/>
            </w:pPr>
            <w:r>
              <w:t>Server trusts a client-mutable authorization attribute.</w:t>
            </w:r>
          </w:p>
        </w:tc>
      </w:tr>
      <w:tr>
        <w:tc>
          <w:tcPr>
            <w:tcW w:type="dxa" w:w="1900"/>
            <w:tcMar>
              <w:top w:w="80" w:type="dxa"/>
              <w:start w:w="120" w:type="dxa"/>
              <w:bottom w:w="80" w:type="dxa"/>
              <w:end w:w="120" w:type="dxa"/>
            </w:tcMar>
            <w:vAlign w:val="center"/>
          </w:tcPr>
          <w:p>
            <w:pPr>
              <w:pStyle w:val="TableText"/>
            </w:pPr>
            <w:r>
              <w:t>Admin API -&gt; database</w:t>
            </w:r>
          </w:p>
        </w:tc>
        <w:tc>
          <w:tcPr>
            <w:tcW w:type="dxa" w:w="3230"/>
            <w:tcMar>
              <w:top w:w="80" w:type="dxa"/>
              <w:start w:w="120" w:type="dxa"/>
              <w:bottom w:w="80" w:type="dxa"/>
              <w:end w:w="120" w:type="dxa"/>
            </w:tcMar>
            <w:vAlign w:val="center"/>
          </w:tcPr>
          <w:p>
            <w:pPr>
              <w:pStyle w:val="TableText"/>
            </w:pPr>
            <w:r>
              <w:t>Service role bypasses RLS for CRUD.</w:t>
            </w:r>
          </w:p>
        </w:tc>
        <w:tc>
          <w:tcPr>
            <w:tcW w:type="dxa" w:w="4230"/>
            <w:tcMar>
              <w:top w:w="80" w:type="dxa"/>
              <w:start w:w="120" w:type="dxa"/>
              <w:bottom w:w="80" w:type="dxa"/>
              <w:end w:w="120" w:type="dxa"/>
            </w:tcMar>
            <w:vAlign w:val="center"/>
          </w:tcPr>
          <w:p>
            <w:pPr>
              <w:pStyle w:val="TableText"/>
            </w:pPr>
            <w:r>
              <w:t>Broad resource operations need record-level ownership, audit, and transaction controls.</w:t>
            </w:r>
          </w:p>
        </w:tc>
      </w:tr>
      <w:tr>
        <w:tc>
          <w:tcPr>
            <w:tcW w:type="dxa" w:w="1900"/>
            <w:tcMar>
              <w:top w:w="80" w:type="dxa"/>
              <w:start w:w="120" w:type="dxa"/>
              <w:bottom w:w="80" w:type="dxa"/>
              <w:end w:w="120" w:type="dxa"/>
            </w:tcMar>
            <w:vAlign w:val="center"/>
          </w:tcPr>
          <w:p>
            <w:pPr>
              <w:pStyle w:val="TableText"/>
            </w:pPr>
            <w:r>
              <w:t>Admin API -&gt; R2</w:t>
            </w:r>
          </w:p>
        </w:tc>
        <w:tc>
          <w:tcPr>
            <w:tcW w:type="dxa" w:w="3230"/>
            <w:tcMar>
              <w:top w:w="80" w:type="dxa"/>
              <w:start w:w="120" w:type="dxa"/>
              <w:bottom w:w="80" w:type="dxa"/>
              <w:end w:w="120" w:type="dxa"/>
            </w:tcMar>
            <w:vAlign w:val="center"/>
          </w:tcPr>
          <w:p>
            <w:pPr>
              <w:pStyle w:val="TableText"/>
            </w:pPr>
            <w:r>
              <w:t>Client provides media storage_path; server may delete orphaned keys.</w:t>
            </w:r>
          </w:p>
        </w:tc>
        <w:tc>
          <w:tcPr>
            <w:tcW w:type="dxa" w:w="4230"/>
            <w:tcMar>
              <w:top w:w="80" w:type="dxa"/>
              <w:start w:w="120" w:type="dxa"/>
              <w:bottom w:w="80" w:type="dxa"/>
              <w:end w:w="120" w:type="dxa"/>
            </w:tcMar>
            <w:vAlign w:val="center"/>
          </w:tcPr>
          <w:p>
            <w:pPr>
              <w:pStyle w:val="TableText"/>
            </w:pPr>
            <w:r>
              <w:t>A permitted contributor may influence deletion of a key they do not own.</w:t>
            </w:r>
          </w:p>
        </w:tc>
      </w:tr>
      <w:tr>
        <w:tc>
          <w:tcPr>
            <w:tcW w:type="dxa" w:w="1900"/>
            <w:tcMar>
              <w:top w:w="80" w:type="dxa"/>
              <w:start w:w="120" w:type="dxa"/>
              <w:bottom w:w="80" w:type="dxa"/>
              <w:end w:w="120" w:type="dxa"/>
            </w:tcMar>
            <w:vAlign w:val="center"/>
          </w:tcPr>
          <w:p>
            <w:pPr>
              <w:pStyle w:val="TableText"/>
            </w:pPr>
            <w:r>
              <w:t>Public media API -&gt; R2</w:t>
            </w:r>
          </w:p>
        </w:tc>
        <w:tc>
          <w:tcPr>
            <w:tcW w:type="dxa" w:w="3230"/>
            <w:tcMar>
              <w:top w:w="80" w:type="dxa"/>
              <w:start w:w="120" w:type="dxa"/>
              <w:bottom w:w="80" w:type="dxa"/>
              <w:end w:w="120" w:type="dxa"/>
            </w:tcMar>
            <w:vAlign w:val="center"/>
          </w:tcPr>
          <w:p>
            <w:pPr>
              <w:pStyle w:val="TableText"/>
            </w:pPr>
            <w:r>
              <w:t>Any caller can fetch a known key; one-year immutable public caching.</w:t>
            </w:r>
          </w:p>
        </w:tc>
        <w:tc>
          <w:tcPr>
            <w:tcW w:type="dxa" w:w="4230"/>
            <w:tcMar>
              <w:top w:w="80" w:type="dxa"/>
              <w:start w:w="120" w:type="dxa"/>
              <w:bottom w:w="80" w:type="dxa"/>
              <w:end w:w="120" w:type="dxa"/>
            </w:tcMar>
            <w:vAlign w:val="center"/>
          </w:tcPr>
          <w:p>
            <w:pPr>
              <w:pStyle w:val="TableText"/>
            </w:pPr>
            <w:r>
              <w:t>Members-only media can be shared or retained independently of content access.</w:t>
            </w:r>
          </w:p>
        </w:tc>
      </w:tr>
      <w:tr>
        <w:tc>
          <w:tcPr>
            <w:tcW w:type="dxa" w:w="1900"/>
            <w:tcMar>
              <w:top w:w="80" w:type="dxa"/>
              <w:start w:w="120" w:type="dxa"/>
              <w:bottom w:w="80" w:type="dxa"/>
              <w:end w:w="120" w:type="dxa"/>
            </w:tcMar>
            <w:vAlign w:val="center"/>
          </w:tcPr>
          <w:p>
            <w:pPr>
              <w:pStyle w:val="TableText"/>
            </w:pPr>
            <w:r>
              <w:t>Build/runtime supply chain</w:t>
            </w:r>
          </w:p>
        </w:tc>
        <w:tc>
          <w:tcPr>
            <w:tcW w:type="dxa" w:w="3230"/>
            <w:tcMar>
              <w:top w:w="80" w:type="dxa"/>
              <w:start w:w="120" w:type="dxa"/>
              <w:bottom w:w="80" w:type="dxa"/>
              <w:end w:w="120" w:type="dxa"/>
            </w:tcMar>
            <w:vAlign w:val="center"/>
          </w:tcPr>
          <w:p>
            <w:pPr>
              <w:pStyle w:val="TableText"/>
            </w:pPr>
            <w:r>
              <w:t>Pinned lockfile, but current versions contain advisories.</w:t>
            </w:r>
          </w:p>
        </w:tc>
        <w:tc>
          <w:tcPr>
            <w:tcW w:type="dxa" w:w="4230"/>
            <w:tcMar>
              <w:top w:w="80" w:type="dxa"/>
              <w:start w:w="120" w:type="dxa"/>
              <w:bottom w:w="80" w:type="dxa"/>
              <w:end w:w="120" w:type="dxa"/>
            </w:tcMar>
            <w:vAlign w:val="center"/>
          </w:tcPr>
          <w:p>
            <w:pPr>
              <w:pStyle w:val="TableText"/>
            </w:pPr>
            <w:r>
              <w:t>Known high-severity vulnerabilities remain in the deployed dependency graph.</w:t>
            </w:r>
          </w:p>
        </w:tc>
      </w:tr>
    </w:tbl>
    <w:p>
      <w:pPr>
        <w:spacing w:after="0"/>
      </w:pPr>
    </w:p>
    <w:p>
      <w:bookmarkStart w:id="5" w:name="section_5"/>
      <w:pPr>
        <w:pStyle w:val="Heading1"/>
      </w:pPr>
      <w:r>
        <w:t>Finding register</w:t>
      </w:r>
      <w:bookmarkEnd w:id="5"/>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650"/>
        <w:gridCol w:w="950"/>
        <w:gridCol w:w="4380"/>
        <w:gridCol w:w="1900"/>
        <w:gridCol w:w="1480"/>
      </w:tblGrid>
      <w:tr>
        <w:trPr>
          <w:tblHeader w:val="true"/>
        </w:trPr>
        <w:tc>
          <w:tcPr>
            <w:tcW w:type="dxa" w:w="650"/>
            <w:shd w:fill="0F5E5A"/>
            <w:tcMar>
              <w:top w:w="80" w:type="dxa"/>
              <w:start w:w="120" w:type="dxa"/>
              <w:bottom w:w="80" w:type="dxa"/>
              <w:end w:w="120" w:type="dxa"/>
            </w:tcMar>
            <w:vAlign w:val="center"/>
          </w:tcPr>
          <w:p>
            <w:pPr>
              <w:pStyle w:val="TableText"/>
            </w:pPr>
            <w:r>
              <w:rPr>
                <w:b/>
                <w:color w:val="FFFFFF"/>
              </w:rPr>
              <w:t>ID</w:t>
            </w:r>
          </w:p>
        </w:tc>
        <w:tc>
          <w:tcPr>
            <w:tcW w:type="dxa" w:w="950"/>
            <w:shd w:fill="0F5E5A"/>
            <w:tcMar>
              <w:top w:w="80" w:type="dxa"/>
              <w:start w:w="120" w:type="dxa"/>
              <w:bottom w:w="80" w:type="dxa"/>
              <w:end w:w="120" w:type="dxa"/>
            </w:tcMar>
            <w:vAlign w:val="center"/>
          </w:tcPr>
          <w:p>
            <w:pPr>
              <w:pStyle w:val="TableText"/>
            </w:pPr>
            <w:r>
              <w:rPr>
                <w:b/>
                <w:color w:val="FFFFFF"/>
              </w:rPr>
              <w:t>Severity</w:t>
            </w:r>
          </w:p>
        </w:tc>
        <w:tc>
          <w:tcPr>
            <w:tcW w:type="dxa" w:w="4380"/>
            <w:shd w:fill="0F5E5A"/>
            <w:tcMar>
              <w:top w:w="80" w:type="dxa"/>
              <w:start w:w="120" w:type="dxa"/>
              <w:bottom w:w="80" w:type="dxa"/>
              <w:end w:w="120" w:type="dxa"/>
            </w:tcMar>
            <w:vAlign w:val="center"/>
          </w:tcPr>
          <w:p>
            <w:pPr>
              <w:pStyle w:val="TableText"/>
            </w:pPr>
            <w:r>
              <w:rPr>
                <w:b/>
                <w:color w:val="FFFFFF"/>
              </w:rPr>
              <w:t>Finding</w:t>
            </w:r>
          </w:p>
        </w:tc>
        <w:tc>
          <w:tcPr>
            <w:tcW w:type="dxa" w:w="1900"/>
            <w:shd w:fill="0F5E5A"/>
            <w:tcMar>
              <w:top w:w="80" w:type="dxa"/>
              <w:start w:w="120" w:type="dxa"/>
              <w:bottom w:w="80" w:type="dxa"/>
              <w:end w:w="120" w:type="dxa"/>
            </w:tcMar>
            <w:vAlign w:val="center"/>
          </w:tcPr>
          <w:p>
            <w:pPr>
              <w:pStyle w:val="TableText"/>
            </w:pPr>
            <w:r>
              <w:rPr>
                <w:b/>
                <w:color w:val="FFFFFF"/>
              </w:rPr>
              <w:t>Owner</w:t>
            </w:r>
          </w:p>
        </w:tc>
        <w:tc>
          <w:tcPr>
            <w:tcW w:type="dxa" w:w="1480"/>
            <w:shd w:fill="0F5E5A"/>
            <w:tcMar>
              <w:top w:w="80" w:type="dxa"/>
              <w:start w:w="120" w:type="dxa"/>
              <w:bottom w:w="80" w:type="dxa"/>
              <w:end w:w="120" w:type="dxa"/>
            </w:tcMar>
            <w:vAlign w:val="center"/>
          </w:tcPr>
          <w:p>
            <w:pPr>
              <w:pStyle w:val="TableText"/>
            </w:pPr>
            <w:r>
              <w:rPr>
                <w:b/>
                <w:color w:val="FFFFFF"/>
              </w:rPr>
              <w:t>Target</w:t>
            </w:r>
          </w:p>
        </w:tc>
      </w:tr>
      <w:tr>
        <w:tc>
          <w:tcPr>
            <w:tcW w:type="dxa" w:w="650"/>
            <w:tcMar>
              <w:top w:w="80" w:type="dxa"/>
              <w:start w:w="120" w:type="dxa"/>
              <w:bottom w:w="80" w:type="dxa"/>
              <w:end w:w="120" w:type="dxa"/>
            </w:tcMar>
            <w:vAlign w:val="center"/>
          </w:tcPr>
          <w:p>
            <w:pPr>
              <w:pStyle w:val="TableText"/>
            </w:pPr>
            <w:r>
              <w:t>S-01</w:t>
            </w:r>
          </w:p>
        </w:tc>
        <w:tc>
          <w:tcPr>
            <w:tcW w:type="dxa" w:w="950"/>
            <w:tcMar>
              <w:top w:w="80" w:type="dxa"/>
              <w:start w:w="120" w:type="dxa"/>
              <w:bottom w:w="80" w:type="dxa"/>
              <w:end w:w="120" w:type="dxa"/>
            </w:tcMar>
            <w:vAlign w:val="center"/>
          </w:tcPr>
          <w:p>
            <w:pPr>
              <w:pStyle w:val="TableText"/>
            </w:pPr>
            <w:r>
              <w:t>Critical</w:t>
            </w:r>
          </w:p>
        </w:tc>
        <w:tc>
          <w:tcPr>
            <w:tcW w:type="dxa" w:w="4380"/>
            <w:tcMar>
              <w:top w:w="80" w:type="dxa"/>
              <w:start w:w="120" w:type="dxa"/>
              <w:bottom w:w="80" w:type="dxa"/>
              <w:end w:w="120" w:type="dxa"/>
            </w:tcMar>
            <w:vAlign w:val="center"/>
          </w:tcPr>
          <w:p>
            <w:pPr>
              <w:pStyle w:val="TableText"/>
            </w:pPr>
            <w:r>
              <w:t>Self-service role escalation through profiles</w:t>
            </w:r>
          </w:p>
        </w:tc>
        <w:tc>
          <w:tcPr>
            <w:tcW w:type="dxa" w:w="1900"/>
            <w:tcMar>
              <w:top w:w="80" w:type="dxa"/>
              <w:start w:w="120" w:type="dxa"/>
              <w:bottom w:w="80" w:type="dxa"/>
              <w:end w:w="120" w:type="dxa"/>
            </w:tcMar>
            <w:vAlign w:val="center"/>
          </w:tcPr>
          <w:p>
            <w:pPr>
              <w:pStyle w:val="TableText"/>
            </w:pPr>
            <w:r>
              <w:t>Backend / DB</w:t>
            </w:r>
          </w:p>
        </w:tc>
        <w:tc>
          <w:tcPr>
            <w:tcW w:type="dxa" w:w="1480"/>
            <w:tcMar>
              <w:top w:w="80" w:type="dxa"/>
              <w:start w:w="120" w:type="dxa"/>
              <w:bottom w:w="80" w:type="dxa"/>
              <w:end w:w="120" w:type="dxa"/>
            </w:tcMar>
            <w:vAlign w:val="center"/>
          </w:tcPr>
          <w:p>
            <w:pPr>
              <w:pStyle w:val="TableText"/>
            </w:pPr>
            <w:r>
              <w:t>0-24h</w:t>
            </w:r>
          </w:p>
        </w:tc>
      </w:tr>
      <w:tr>
        <w:tc>
          <w:tcPr>
            <w:tcW w:type="dxa" w:w="650"/>
            <w:tcMar>
              <w:top w:w="80" w:type="dxa"/>
              <w:start w:w="120" w:type="dxa"/>
              <w:bottom w:w="80" w:type="dxa"/>
              <w:end w:w="120" w:type="dxa"/>
            </w:tcMar>
            <w:vAlign w:val="center"/>
          </w:tcPr>
          <w:p>
            <w:pPr>
              <w:pStyle w:val="TableText"/>
            </w:pPr>
            <w:r>
              <w:t>S-02</w:t>
            </w:r>
          </w:p>
        </w:tc>
        <w:tc>
          <w:tcPr>
            <w:tcW w:type="dxa" w:w="950"/>
            <w:tcMar>
              <w:top w:w="80" w:type="dxa"/>
              <w:start w:w="120" w:type="dxa"/>
              <w:bottom w:w="80" w:type="dxa"/>
              <w:end w:w="120" w:type="dxa"/>
            </w:tcMar>
            <w:vAlign w:val="center"/>
          </w:tcPr>
          <w:p>
            <w:pPr>
              <w:pStyle w:val="TableText"/>
            </w:pPr>
            <w:r>
              <w:t>High</w:t>
            </w:r>
          </w:p>
        </w:tc>
        <w:tc>
          <w:tcPr>
            <w:tcW w:type="dxa" w:w="4380"/>
            <w:tcMar>
              <w:top w:w="80" w:type="dxa"/>
              <w:start w:w="120" w:type="dxa"/>
              <w:bottom w:w="80" w:type="dxa"/>
              <w:end w:w="120" w:type="dxa"/>
            </w:tcMar>
            <w:vAlign w:val="center"/>
          </w:tcPr>
          <w:p>
            <w:pPr>
              <w:pStyle w:val="TableText"/>
            </w:pPr>
            <w:r>
              <w:t>Known vulnerable production/build dependencies</w:t>
            </w:r>
          </w:p>
        </w:tc>
        <w:tc>
          <w:tcPr>
            <w:tcW w:type="dxa" w:w="1900"/>
            <w:tcMar>
              <w:top w:w="80" w:type="dxa"/>
              <w:start w:w="120" w:type="dxa"/>
              <w:bottom w:w="80" w:type="dxa"/>
              <w:end w:w="120" w:type="dxa"/>
            </w:tcMar>
            <w:vAlign w:val="center"/>
          </w:tcPr>
          <w:p>
            <w:pPr>
              <w:pStyle w:val="TableText"/>
            </w:pPr>
            <w:r>
              <w:t>Platform</w:t>
            </w:r>
          </w:p>
        </w:tc>
        <w:tc>
          <w:tcPr>
            <w:tcW w:type="dxa" w:w="1480"/>
            <w:tcMar>
              <w:top w:w="80" w:type="dxa"/>
              <w:start w:w="120" w:type="dxa"/>
              <w:bottom w:w="80" w:type="dxa"/>
              <w:end w:w="120" w:type="dxa"/>
            </w:tcMar>
            <w:vAlign w:val="center"/>
          </w:tcPr>
          <w:p>
            <w:pPr>
              <w:pStyle w:val="TableText"/>
            </w:pPr>
            <w:r>
              <w:t>0-7d</w:t>
            </w:r>
          </w:p>
        </w:tc>
      </w:tr>
      <w:tr>
        <w:tc>
          <w:tcPr>
            <w:tcW w:type="dxa" w:w="650"/>
            <w:tcMar>
              <w:top w:w="80" w:type="dxa"/>
              <w:start w:w="120" w:type="dxa"/>
              <w:bottom w:w="80" w:type="dxa"/>
              <w:end w:w="120" w:type="dxa"/>
            </w:tcMar>
            <w:vAlign w:val="center"/>
          </w:tcPr>
          <w:p>
            <w:pPr>
              <w:pStyle w:val="TableText"/>
            </w:pPr>
            <w:r>
              <w:t>S-03</w:t>
            </w:r>
          </w:p>
        </w:tc>
        <w:tc>
          <w:tcPr>
            <w:tcW w:type="dxa" w:w="950"/>
            <w:tcMar>
              <w:top w:w="80" w:type="dxa"/>
              <w:start w:w="120" w:type="dxa"/>
              <w:bottom w:w="80" w:type="dxa"/>
              <w:end w:w="120" w:type="dxa"/>
            </w:tcMar>
            <w:vAlign w:val="center"/>
          </w:tcPr>
          <w:p>
            <w:pPr>
              <w:pStyle w:val="TableText"/>
            </w:pPr>
            <w:r>
              <w:t>High</w:t>
            </w:r>
          </w:p>
        </w:tc>
        <w:tc>
          <w:tcPr>
            <w:tcW w:type="dxa" w:w="4380"/>
            <w:tcMar>
              <w:top w:w="80" w:type="dxa"/>
              <w:start w:w="120" w:type="dxa"/>
              <w:bottom w:w="80" w:type="dxa"/>
              <w:end w:w="120" w:type="dxa"/>
            </w:tcMar>
            <w:vAlign w:val="center"/>
          </w:tcPr>
          <w:p>
            <w:pPr>
              <w:pStyle w:val="TableText"/>
            </w:pPr>
            <w:r>
              <w:t>Members-only media is public by stable URL</w:t>
            </w:r>
          </w:p>
        </w:tc>
        <w:tc>
          <w:tcPr>
            <w:tcW w:type="dxa" w:w="1900"/>
            <w:tcMar>
              <w:top w:w="80" w:type="dxa"/>
              <w:start w:w="120" w:type="dxa"/>
              <w:bottom w:w="80" w:type="dxa"/>
              <w:end w:w="120" w:type="dxa"/>
            </w:tcMar>
            <w:vAlign w:val="center"/>
          </w:tcPr>
          <w:p>
            <w:pPr>
              <w:pStyle w:val="TableText"/>
            </w:pPr>
            <w:r>
              <w:t>Backend / Platform</w:t>
            </w:r>
          </w:p>
        </w:tc>
        <w:tc>
          <w:tcPr>
            <w:tcW w:type="dxa" w:w="1480"/>
            <w:tcMar>
              <w:top w:w="80" w:type="dxa"/>
              <w:start w:w="120" w:type="dxa"/>
              <w:bottom w:w="80" w:type="dxa"/>
              <w:end w:w="120" w:type="dxa"/>
            </w:tcMar>
            <w:vAlign w:val="center"/>
          </w:tcPr>
          <w:p>
            <w:pPr>
              <w:pStyle w:val="TableText"/>
            </w:pPr>
            <w:r>
              <w:t>0-7d</w:t>
            </w:r>
          </w:p>
        </w:tc>
      </w:tr>
      <w:tr>
        <w:tc>
          <w:tcPr>
            <w:tcW w:type="dxa" w:w="650"/>
            <w:tcMar>
              <w:top w:w="80" w:type="dxa"/>
              <w:start w:w="120" w:type="dxa"/>
              <w:bottom w:w="80" w:type="dxa"/>
              <w:end w:w="120" w:type="dxa"/>
            </w:tcMar>
            <w:vAlign w:val="center"/>
          </w:tcPr>
          <w:p>
            <w:pPr>
              <w:pStyle w:val="TableText"/>
            </w:pPr>
            <w:r>
              <w:t>S-04</w:t>
            </w:r>
          </w:p>
        </w:tc>
        <w:tc>
          <w:tcPr>
            <w:tcW w:type="dxa" w:w="950"/>
            <w:tcMar>
              <w:top w:w="80" w:type="dxa"/>
              <w:start w:w="120" w:type="dxa"/>
              <w:bottom w:w="80" w:type="dxa"/>
              <w:end w:w="120" w:type="dxa"/>
            </w:tcMar>
            <w:vAlign w:val="center"/>
          </w:tcPr>
          <w:p>
            <w:pPr>
              <w:pStyle w:val="TableText"/>
            </w:pPr>
            <w:r>
              <w:t>High</w:t>
            </w:r>
          </w:p>
        </w:tc>
        <w:tc>
          <w:tcPr>
            <w:tcW w:type="dxa" w:w="4380"/>
            <w:tcMar>
              <w:top w:w="80" w:type="dxa"/>
              <w:start w:w="120" w:type="dxa"/>
              <w:bottom w:w="80" w:type="dxa"/>
              <w:end w:w="120" w:type="dxa"/>
            </w:tcMar>
            <w:vAlign w:val="center"/>
          </w:tcPr>
          <w:p>
            <w:pPr>
              <w:pStyle w:val="TableText"/>
            </w:pPr>
            <w:r>
              <w:t>Contributor/editor writes lack record ownership scope</w:t>
            </w:r>
          </w:p>
        </w:tc>
        <w:tc>
          <w:tcPr>
            <w:tcW w:type="dxa" w:w="1900"/>
            <w:tcMar>
              <w:top w:w="80" w:type="dxa"/>
              <w:start w:w="120" w:type="dxa"/>
              <w:bottom w:w="80" w:type="dxa"/>
              <w:end w:w="120" w:type="dxa"/>
            </w:tcMar>
            <w:vAlign w:val="center"/>
          </w:tcPr>
          <w:p>
            <w:pPr>
              <w:pStyle w:val="TableText"/>
            </w:pPr>
            <w:r>
              <w:t>Backend / Product</w:t>
            </w:r>
          </w:p>
        </w:tc>
        <w:tc>
          <w:tcPr>
            <w:tcW w:type="dxa" w:w="1480"/>
            <w:tcMar>
              <w:top w:w="80" w:type="dxa"/>
              <w:start w:w="120" w:type="dxa"/>
              <w:bottom w:w="80" w:type="dxa"/>
              <w:end w:w="120" w:type="dxa"/>
            </w:tcMar>
            <w:vAlign w:val="center"/>
          </w:tcPr>
          <w:p>
            <w:pPr>
              <w:pStyle w:val="TableText"/>
            </w:pPr>
            <w:r>
              <w:t>7d</w:t>
            </w:r>
          </w:p>
        </w:tc>
      </w:tr>
      <w:tr>
        <w:tc>
          <w:tcPr>
            <w:tcW w:type="dxa" w:w="650"/>
            <w:tcMar>
              <w:top w:w="80" w:type="dxa"/>
              <w:start w:w="120" w:type="dxa"/>
              <w:bottom w:w="80" w:type="dxa"/>
              <w:end w:w="120" w:type="dxa"/>
            </w:tcMar>
            <w:vAlign w:val="center"/>
          </w:tcPr>
          <w:p>
            <w:pPr>
              <w:pStyle w:val="TableText"/>
            </w:pPr>
            <w:r>
              <w:t>S-05</w:t>
            </w:r>
          </w:p>
        </w:tc>
        <w:tc>
          <w:tcPr>
            <w:tcW w:type="dxa" w:w="950"/>
            <w:tcMar>
              <w:top w:w="80" w:type="dxa"/>
              <w:start w:w="120" w:type="dxa"/>
              <w:bottom w:w="80" w:type="dxa"/>
              <w:end w:w="120" w:type="dxa"/>
            </w:tcMar>
            <w:vAlign w:val="center"/>
          </w:tcPr>
          <w:p>
            <w:pPr>
              <w:pStyle w:val="TableText"/>
            </w:pPr>
            <w:r>
              <w:t>High</w:t>
            </w:r>
          </w:p>
        </w:tc>
        <w:tc>
          <w:tcPr>
            <w:tcW w:type="dxa" w:w="4380"/>
            <w:tcMar>
              <w:top w:w="80" w:type="dxa"/>
              <w:start w:w="120" w:type="dxa"/>
              <w:bottom w:w="80" w:type="dxa"/>
              <w:end w:w="120" w:type="dxa"/>
            </w:tcMar>
            <w:vAlign w:val="center"/>
          </w:tcPr>
          <w:p>
            <w:pPr>
              <w:pStyle w:val="TableText"/>
            </w:pPr>
            <w:r>
              <w:t>Upload controls trust MIME and omit content scanning</w:t>
            </w:r>
          </w:p>
        </w:tc>
        <w:tc>
          <w:tcPr>
            <w:tcW w:type="dxa" w:w="1900"/>
            <w:tcMar>
              <w:top w:w="80" w:type="dxa"/>
              <w:start w:w="120" w:type="dxa"/>
              <w:bottom w:w="80" w:type="dxa"/>
              <w:end w:w="120" w:type="dxa"/>
            </w:tcMar>
            <w:vAlign w:val="center"/>
          </w:tcPr>
          <w:p>
            <w:pPr>
              <w:pStyle w:val="TableText"/>
            </w:pPr>
            <w:r>
              <w:t>Backend / Security</w:t>
            </w:r>
          </w:p>
        </w:tc>
        <w:tc>
          <w:tcPr>
            <w:tcW w:type="dxa" w:w="1480"/>
            <w:tcMar>
              <w:top w:w="80" w:type="dxa"/>
              <w:start w:w="120" w:type="dxa"/>
              <w:bottom w:w="80" w:type="dxa"/>
              <w:end w:w="120" w:type="dxa"/>
            </w:tcMar>
            <w:vAlign w:val="center"/>
          </w:tcPr>
          <w:p>
            <w:pPr>
              <w:pStyle w:val="TableText"/>
            </w:pPr>
            <w:r>
              <w:t>7-30d</w:t>
            </w:r>
          </w:p>
        </w:tc>
      </w:tr>
      <w:tr>
        <w:tc>
          <w:tcPr>
            <w:tcW w:type="dxa" w:w="650"/>
            <w:tcMar>
              <w:top w:w="80" w:type="dxa"/>
              <w:start w:w="120" w:type="dxa"/>
              <w:bottom w:w="80" w:type="dxa"/>
              <w:end w:w="120" w:type="dxa"/>
            </w:tcMar>
            <w:vAlign w:val="center"/>
          </w:tcPr>
          <w:p>
            <w:pPr>
              <w:pStyle w:val="TableText"/>
            </w:pPr>
            <w:r>
              <w:t>S-06</w:t>
            </w:r>
          </w:p>
        </w:tc>
        <w:tc>
          <w:tcPr>
            <w:tcW w:type="dxa" w:w="950"/>
            <w:tcMar>
              <w:top w:w="80" w:type="dxa"/>
              <w:start w:w="120" w:type="dxa"/>
              <w:bottom w:w="80" w:type="dxa"/>
              <w:end w:w="120" w:type="dxa"/>
            </w:tcMar>
            <w:vAlign w:val="center"/>
          </w:tcPr>
          <w:p>
            <w:pPr>
              <w:pStyle w:val="TableText"/>
            </w:pPr>
            <w:r>
              <w:t>Medium</w:t>
            </w:r>
          </w:p>
        </w:tc>
        <w:tc>
          <w:tcPr>
            <w:tcW w:type="dxa" w:w="4380"/>
            <w:tcMar>
              <w:top w:w="80" w:type="dxa"/>
              <w:start w:w="120" w:type="dxa"/>
              <w:bottom w:w="80" w:type="dxa"/>
              <w:end w:w="120" w:type="dxa"/>
            </w:tcMar>
            <w:vAlign w:val="center"/>
          </w:tcPr>
          <w:p>
            <w:pPr>
              <w:pStyle w:val="TableText"/>
            </w:pPr>
            <w:r>
              <w:t>Security response headers are not configured</w:t>
            </w:r>
          </w:p>
        </w:tc>
        <w:tc>
          <w:tcPr>
            <w:tcW w:type="dxa" w:w="1900"/>
            <w:tcMar>
              <w:top w:w="80" w:type="dxa"/>
              <w:start w:w="120" w:type="dxa"/>
              <w:bottom w:w="80" w:type="dxa"/>
              <w:end w:w="120" w:type="dxa"/>
            </w:tcMar>
            <w:vAlign w:val="center"/>
          </w:tcPr>
          <w:p>
            <w:pPr>
              <w:pStyle w:val="TableText"/>
            </w:pPr>
            <w:r>
              <w:t>Platform</w:t>
            </w:r>
          </w:p>
        </w:tc>
        <w:tc>
          <w:tcPr>
            <w:tcW w:type="dxa" w:w="1480"/>
            <w:tcMar>
              <w:top w:w="80" w:type="dxa"/>
              <w:start w:w="120" w:type="dxa"/>
              <w:bottom w:w="80" w:type="dxa"/>
              <w:end w:w="120" w:type="dxa"/>
            </w:tcMar>
            <w:vAlign w:val="center"/>
          </w:tcPr>
          <w:p>
            <w:pPr>
              <w:pStyle w:val="TableText"/>
            </w:pPr>
            <w:r>
              <w:t>30d</w:t>
            </w:r>
          </w:p>
        </w:tc>
      </w:tr>
      <w:tr>
        <w:tc>
          <w:tcPr>
            <w:tcW w:type="dxa" w:w="650"/>
            <w:tcMar>
              <w:top w:w="80" w:type="dxa"/>
              <w:start w:w="120" w:type="dxa"/>
              <w:bottom w:w="80" w:type="dxa"/>
              <w:end w:w="120" w:type="dxa"/>
            </w:tcMar>
            <w:vAlign w:val="center"/>
          </w:tcPr>
          <w:p>
            <w:pPr>
              <w:pStyle w:val="TableText"/>
            </w:pPr>
            <w:r>
              <w:t>S-07</w:t>
            </w:r>
          </w:p>
        </w:tc>
        <w:tc>
          <w:tcPr>
            <w:tcW w:type="dxa" w:w="950"/>
            <w:tcMar>
              <w:top w:w="80" w:type="dxa"/>
              <w:start w:w="120" w:type="dxa"/>
              <w:bottom w:w="80" w:type="dxa"/>
              <w:end w:w="120" w:type="dxa"/>
            </w:tcMar>
            <w:vAlign w:val="center"/>
          </w:tcPr>
          <w:p>
            <w:pPr>
              <w:pStyle w:val="TableText"/>
            </w:pPr>
            <w:r>
              <w:t>Medium</w:t>
            </w:r>
          </w:p>
        </w:tc>
        <w:tc>
          <w:tcPr>
            <w:tcW w:type="dxa" w:w="4380"/>
            <w:tcMar>
              <w:top w:w="80" w:type="dxa"/>
              <w:start w:w="120" w:type="dxa"/>
              <w:bottom w:w="80" w:type="dxa"/>
              <w:end w:w="120" w:type="dxa"/>
            </w:tcMar>
            <w:vAlign w:val="center"/>
          </w:tcPr>
          <w:p>
            <w:pPr>
              <w:pStyle w:val="TableText"/>
            </w:pPr>
            <w:r>
              <w:t>No source-visible API/WAF rate-limiting policy</w:t>
            </w:r>
          </w:p>
        </w:tc>
        <w:tc>
          <w:tcPr>
            <w:tcW w:type="dxa" w:w="1900"/>
            <w:tcMar>
              <w:top w:w="80" w:type="dxa"/>
              <w:start w:w="120" w:type="dxa"/>
              <w:bottom w:w="80" w:type="dxa"/>
              <w:end w:w="120" w:type="dxa"/>
            </w:tcMar>
            <w:vAlign w:val="center"/>
          </w:tcPr>
          <w:p>
            <w:pPr>
              <w:pStyle w:val="TableText"/>
            </w:pPr>
            <w:r>
              <w:t>Platform</w:t>
            </w:r>
          </w:p>
        </w:tc>
        <w:tc>
          <w:tcPr>
            <w:tcW w:type="dxa" w:w="1480"/>
            <w:tcMar>
              <w:top w:w="80" w:type="dxa"/>
              <w:start w:w="120" w:type="dxa"/>
              <w:bottom w:w="80" w:type="dxa"/>
              <w:end w:w="120" w:type="dxa"/>
            </w:tcMar>
            <w:vAlign w:val="center"/>
          </w:tcPr>
          <w:p>
            <w:pPr>
              <w:pStyle w:val="TableText"/>
            </w:pPr>
            <w:r>
              <w:t>30d</w:t>
            </w:r>
          </w:p>
        </w:tc>
      </w:tr>
      <w:tr>
        <w:tc>
          <w:tcPr>
            <w:tcW w:type="dxa" w:w="650"/>
            <w:tcMar>
              <w:top w:w="80" w:type="dxa"/>
              <w:start w:w="120" w:type="dxa"/>
              <w:bottom w:w="80" w:type="dxa"/>
              <w:end w:w="120" w:type="dxa"/>
            </w:tcMar>
            <w:vAlign w:val="center"/>
          </w:tcPr>
          <w:p>
            <w:pPr>
              <w:pStyle w:val="TableText"/>
            </w:pPr>
            <w:r>
              <w:t>S-08</w:t>
            </w:r>
          </w:p>
        </w:tc>
        <w:tc>
          <w:tcPr>
            <w:tcW w:type="dxa" w:w="950"/>
            <w:tcMar>
              <w:top w:w="80" w:type="dxa"/>
              <w:start w:w="120" w:type="dxa"/>
              <w:bottom w:w="80" w:type="dxa"/>
              <w:end w:w="120" w:type="dxa"/>
            </w:tcMar>
            <w:vAlign w:val="center"/>
          </w:tcPr>
          <w:p>
            <w:pPr>
              <w:pStyle w:val="TableText"/>
            </w:pPr>
            <w:r>
              <w:t>Medium</w:t>
            </w:r>
          </w:p>
        </w:tc>
        <w:tc>
          <w:tcPr>
            <w:tcW w:type="dxa" w:w="4380"/>
            <w:tcMar>
              <w:top w:w="80" w:type="dxa"/>
              <w:start w:w="120" w:type="dxa"/>
              <w:bottom w:w="80" w:type="dxa"/>
              <w:end w:w="120" w:type="dxa"/>
            </w:tcMar>
            <w:vAlign w:val="center"/>
          </w:tcPr>
          <w:p>
            <w:pPr>
              <w:pStyle w:val="TableText"/>
            </w:pPr>
            <w:r>
              <w:t>Staff MFA and verified-email controls are not enforced</w:t>
            </w:r>
          </w:p>
        </w:tc>
        <w:tc>
          <w:tcPr>
            <w:tcW w:type="dxa" w:w="1900"/>
            <w:tcMar>
              <w:top w:w="80" w:type="dxa"/>
              <w:start w:w="120" w:type="dxa"/>
              <w:bottom w:w="80" w:type="dxa"/>
              <w:end w:w="120" w:type="dxa"/>
            </w:tcMar>
            <w:vAlign w:val="center"/>
          </w:tcPr>
          <w:p>
            <w:pPr>
              <w:pStyle w:val="TableText"/>
            </w:pPr>
            <w:r>
              <w:t>Identity / Ops</w:t>
            </w:r>
          </w:p>
        </w:tc>
        <w:tc>
          <w:tcPr>
            <w:tcW w:type="dxa" w:w="1480"/>
            <w:tcMar>
              <w:top w:w="80" w:type="dxa"/>
              <w:start w:w="120" w:type="dxa"/>
              <w:bottom w:w="80" w:type="dxa"/>
              <w:end w:w="120" w:type="dxa"/>
            </w:tcMar>
            <w:vAlign w:val="center"/>
          </w:tcPr>
          <w:p>
            <w:pPr>
              <w:pStyle w:val="TableText"/>
            </w:pPr>
            <w:r>
              <w:t>30d</w:t>
            </w:r>
          </w:p>
        </w:tc>
      </w:tr>
      <w:tr>
        <w:tc>
          <w:tcPr>
            <w:tcW w:type="dxa" w:w="650"/>
            <w:tcMar>
              <w:top w:w="80" w:type="dxa"/>
              <w:start w:w="120" w:type="dxa"/>
              <w:bottom w:w="80" w:type="dxa"/>
              <w:end w:w="120" w:type="dxa"/>
            </w:tcMar>
            <w:vAlign w:val="center"/>
          </w:tcPr>
          <w:p>
            <w:pPr>
              <w:pStyle w:val="TableText"/>
            </w:pPr>
            <w:r>
              <w:t>S-09</w:t>
            </w:r>
          </w:p>
        </w:tc>
        <w:tc>
          <w:tcPr>
            <w:tcW w:type="dxa" w:w="950"/>
            <w:tcMar>
              <w:top w:w="80" w:type="dxa"/>
              <w:start w:w="120" w:type="dxa"/>
              <w:bottom w:w="80" w:type="dxa"/>
              <w:end w:w="120" w:type="dxa"/>
            </w:tcMar>
            <w:vAlign w:val="center"/>
          </w:tcPr>
          <w:p>
            <w:pPr>
              <w:pStyle w:val="TableText"/>
            </w:pPr>
            <w:r>
              <w:t>Medium</w:t>
            </w:r>
          </w:p>
        </w:tc>
        <w:tc>
          <w:tcPr>
            <w:tcW w:type="dxa" w:w="4380"/>
            <w:tcMar>
              <w:top w:w="80" w:type="dxa"/>
              <w:start w:w="120" w:type="dxa"/>
              <w:bottom w:w="80" w:type="dxa"/>
              <w:end w:w="120" w:type="dxa"/>
            </w:tcMar>
            <w:vAlign w:val="center"/>
          </w:tcPr>
          <w:p>
            <w:pPr>
              <w:pStyle w:val="TableText"/>
            </w:pPr>
            <w:r>
              <w:t>Raw URL fields are not scheme/host validated</w:t>
            </w:r>
          </w:p>
        </w:tc>
        <w:tc>
          <w:tcPr>
            <w:tcW w:type="dxa" w:w="1900"/>
            <w:tcMar>
              <w:top w:w="80" w:type="dxa"/>
              <w:start w:w="120" w:type="dxa"/>
              <w:bottom w:w="80" w:type="dxa"/>
              <w:end w:w="120" w:type="dxa"/>
            </w:tcMar>
            <w:vAlign w:val="center"/>
          </w:tcPr>
          <w:p>
            <w:pPr>
              <w:pStyle w:val="TableText"/>
            </w:pPr>
            <w:r>
              <w:t>Backend</w:t>
            </w:r>
          </w:p>
        </w:tc>
        <w:tc>
          <w:tcPr>
            <w:tcW w:type="dxa" w:w="1480"/>
            <w:tcMar>
              <w:top w:w="80" w:type="dxa"/>
              <w:start w:w="120" w:type="dxa"/>
              <w:bottom w:w="80" w:type="dxa"/>
              <w:end w:w="120" w:type="dxa"/>
            </w:tcMar>
            <w:vAlign w:val="center"/>
          </w:tcPr>
          <w:p>
            <w:pPr>
              <w:pStyle w:val="TableText"/>
            </w:pPr>
            <w:r>
              <w:t>30d</w:t>
            </w:r>
          </w:p>
        </w:tc>
      </w:tr>
      <w:tr>
        <w:tc>
          <w:tcPr>
            <w:tcW w:type="dxa" w:w="650"/>
            <w:tcMar>
              <w:top w:w="80" w:type="dxa"/>
              <w:start w:w="120" w:type="dxa"/>
              <w:bottom w:w="80" w:type="dxa"/>
              <w:end w:w="120" w:type="dxa"/>
            </w:tcMar>
            <w:vAlign w:val="center"/>
          </w:tcPr>
          <w:p>
            <w:pPr>
              <w:pStyle w:val="TableText"/>
            </w:pPr>
            <w:r>
              <w:t>S-10</w:t>
            </w:r>
          </w:p>
        </w:tc>
        <w:tc>
          <w:tcPr>
            <w:tcW w:type="dxa" w:w="950"/>
            <w:tcMar>
              <w:top w:w="80" w:type="dxa"/>
              <w:start w:w="120" w:type="dxa"/>
              <w:bottom w:w="80" w:type="dxa"/>
              <w:end w:w="120" w:type="dxa"/>
            </w:tcMar>
            <w:vAlign w:val="center"/>
          </w:tcPr>
          <w:p>
            <w:pPr>
              <w:pStyle w:val="TableText"/>
            </w:pPr>
            <w:r>
              <w:t>Medium</w:t>
            </w:r>
          </w:p>
        </w:tc>
        <w:tc>
          <w:tcPr>
            <w:tcW w:type="dxa" w:w="4380"/>
            <w:tcMar>
              <w:top w:w="80" w:type="dxa"/>
              <w:start w:w="120" w:type="dxa"/>
              <w:bottom w:w="80" w:type="dxa"/>
              <w:end w:w="120" w:type="dxa"/>
            </w:tcMar>
            <w:vAlign w:val="center"/>
          </w:tcPr>
          <w:p>
            <w:pPr>
              <w:pStyle w:val="TableText"/>
            </w:pPr>
            <w:r>
              <w:t>Host header participates in canonical origin</w:t>
            </w:r>
          </w:p>
        </w:tc>
        <w:tc>
          <w:tcPr>
            <w:tcW w:type="dxa" w:w="1900"/>
            <w:tcMar>
              <w:top w:w="80" w:type="dxa"/>
              <w:start w:w="120" w:type="dxa"/>
              <w:bottom w:w="80" w:type="dxa"/>
              <w:end w:w="120" w:type="dxa"/>
            </w:tcMar>
            <w:vAlign w:val="center"/>
          </w:tcPr>
          <w:p>
            <w:pPr>
              <w:pStyle w:val="TableText"/>
            </w:pPr>
            <w:r>
              <w:t>Frontend / Platform</w:t>
            </w:r>
          </w:p>
        </w:tc>
        <w:tc>
          <w:tcPr>
            <w:tcW w:type="dxa" w:w="1480"/>
            <w:tcMar>
              <w:top w:w="80" w:type="dxa"/>
              <w:start w:w="120" w:type="dxa"/>
              <w:bottom w:w="80" w:type="dxa"/>
              <w:end w:w="120" w:type="dxa"/>
            </w:tcMar>
            <w:vAlign w:val="center"/>
          </w:tcPr>
          <w:p>
            <w:pPr>
              <w:pStyle w:val="TableText"/>
            </w:pPr>
            <w:r>
              <w:t>30d</w:t>
            </w:r>
          </w:p>
        </w:tc>
      </w:tr>
      <w:tr>
        <w:tc>
          <w:tcPr>
            <w:tcW w:type="dxa" w:w="650"/>
            <w:tcMar>
              <w:top w:w="80" w:type="dxa"/>
              <w:start w:w="120" w:type="dxa"/>
              <w:bottom w:w="80" w:type="dxa"/>
              <w:end w:w="120" w:type="dxa"/>
            </w:tcMar>
            <w:vAlign w:val="center"/>
          </w:tcPr>
          <w:p>
            <w:pPr>
              <w:pStyle w:val="TableText"/>
            </w:pPr>
            <w:r>
              <w:t>S-11</w:t>
            </w:r>
          </w:p>
        </w:tc>
        <w:tc>
          <w:tcPr>
            <w:tcW w:type="dxa" w:w="950"/>
            <w:tcMar>
              <w:top w:w="80" w:type="dxa"/>
              <w:start w:w="120" w:type="dxa"/>
              <w:bottom w:w="80" w:type="dxa"/>
              <w:end w:w="120" w:type="dxa"/>
            </w:tcMar>
            <w:vAlign w:val="center"/>
          </w:tcPr>
          <w:p>
            <w:pPr>
              <w:pStyle w:val="TableText"/>
            </w:pPr>
            <w:r>
              <w:t>Medium</w:t>
            </w:r>
          </w:p>
        </w:tc>
        <w:tc>
          <w:tcPr>
            <w:tcW w:type="dxa" w:w="4380"/>
            <w:tcMar>
              <w:top w:w="80" w:type="dxa"/>
              <w:start w:w="120" w:type="dxa"/>
              <w:bottom w:w="80" w:type="dxa"/>
              <w:end w:w="120" w:type="dxa"/>
            </w:tcMar>
            <w:vAlign w:val="center"/>
          </w:tcPr>
          <w:p>
            <w:pPr>
              <w:pStyle w:val="TableText"/>
            </w:pPr>
            <w:r>
              <w:t>Administrative auditability and transactions are weak</w:t>
            </w:r>
          </w:p>
        </w:tc>
        <w:tc>
          <w:tcPr>
            <w:tcW w:type="dxa" w:w="1900"/>
            <w:tcMar>
              <w:top w:w="80" w:type="dxa"/>
              <w:start w:w="120" w:type="dxa"/>
              <w:bottom w:w="80" w:type="dxa"/>
              <w:end w:w="120" w:type="dxa"/>
            </w:tcMar>
            <w:vAlign w:val="center"/>
          </w:tcPr>
          <w:p>
            <w:pPr>
              <w:pStyle w:val="TableText"/>
            </w:pPr>
            <w:r>
              <w:t>Backend / DB</w:t>
            </w:r>
          </w:p>
        </w:tc>
        <w:tc>
          <w:tcPr>
            <w:tcW w:type="dxa" w:w="1480"/>
            <w:tcMar>
              <w:top w:w="80" w:type="dxa"/>
              <w:start w:w="120" w:type="dxa"/>
              <w:bottom w:w="80" w:type="dxa"/>
              <w:end w:w="120" w:type="dxa"/>
            </w:tcMar>
            <w:vAlign w:val="center"/>
          </w:tcPr>
          <w:p>
            <w:pPr>
              <w:pStyle w:val="TableText"/>
            </w:pPr>
            <w:r>
              <w:t>60d</w:t>
            </w:r>
          </w:p>
        </w:tc>
      </w:tr>
      <w:tr>
        <w:tc>
          <w:tcPr>
            <w:tcW w:type="dxa" w:w="650"/>
            <w:tcMar>
              <w:top w:w="80" w:type="dxa"/>
              <w:start w:w="120" w:type="dxa"/>
              <w:bottom w:w="80" w:type="dxa"/>
              <w:end w:w="120" w:type="dxa"/>
            </w:tcMar>
            <w:vAlign w:val="center"/>
          </w:tcPr>
          <w:p>
            <w:pPr>
              <w:pStyle w:val="TableText"/>
            </w:pPr>
            <w:r>
              <w:t>S-12</w:t>
            </w:r>
          </w:p>
        </w:tc>
        <w:tc>
          <w:tcPr>
            <w:tcW w:type="dxa" w:w="950"/>
            <w:tcMar>
              <w:top w:w="80" w:type="dxa"/>
              <w:start w:w="120" w:type="dxa"/>
              <w:bottom w:w="80" w:type="dxa"/>
              <w:end w:w="120" w:type="dxa"/>
            </w:tcMar>
            <w:vAlign w:val="center"/>
          </w:tcPr>
          <w:p>
            <w:pPr>
              <w:pStyle w:val="TableText"/>
            </w:pPr>
            <w:r>
              <w:t>Low</w:t>
            </w:r>
          </w:p>
        </w:tc>
        <w:tc>
          <w:tcPr>
            <w:tcW w:type="dxa" w:w="4380"/>
            <w:tcMar>
              <w:top w:w="80" w:type="dxa"/>
              <w:start w:w="120" w:type="dxa"/>
              <w:bottom w:w="80" w:type="dxa"/>
              <w:end w:w="120" w:type="dxa"/>
            </w:tcMar>
            <w:vAlign w:val="center"/>
          </w:tcPr>
          <w:p>
            <w:pPr>
              <w:pStyle w:val="TableText"/>
            </w:pPr>
            <w:r>
              <w:t>Personal owner email is hard-coded</w:t>
            </w:r>
          </w:p>
        </w:tc>
        <w:tc>
          <w:tcPr>
            <w:tcW w:type="dxa" w:w="1900"/>
            <w:tcMar>
              <w:top w:w="80" w:type="dxa"/>
              <w:start w:w="120" w:type="dxa"/>
              <w:bottom w:w="80" w:type="dxa"/>
              <w:end w:w="120" w:type="dxa"/>
            </w:tcMar>
            <w:vAlign w:val="center"/>
          </w:tcPr>
          <w:p>
            <w:pPr>
              <w:pStyle w:val="TableText"/>
            </w:pPr>
            <w:r>
              <w:t>Backend / Ops</w:t>
            </w:r>
          </w:p>
        </w:tc>
        <w:tc>
          <w:tcPr>
            <w:tcW w:type="dxa" w:w="1480"/>
            <w:tcMar>
              <w:top w:w="80" w:type="dxa"/>
              <w:start w:w="120" w:type="dxa"/>
              <w:bottom w:w="80" w:type="dxa"/>
              <w:end w:w="120" w:type="dxa"/>
            </w:tcMar>
            <w:vAlign w:val="center"/>
          </w:tcPr>
          <w:p>
            <w:pPr>
              <w:pStyle w:val="TableText"/>
            </w:pPr>
            <w:r>
              <w:t>60d</w:t>
            </w:r>
          </w:p>
        </w:tc>
      </w:tr>
      <w:tr>
        <w:tc>
          <w:tcPr>
            <w:tcW w:type="dxa" w:w="650"/>
            <w:tcMar>
              <w:top w:w="80" w:type="dxa"/>
              <w:start w:w="120" w:type="dxa"/>
              <w:bottom w:w="80" w:type="dxa"/>
              <w:end w:w="120" w:type="dxa"/>
            </w:tcMar>
            <w:vAlign w:val="center"/>
          </w:tcPr>
          <w:p>
            <w:pPr>
              <w:pStyle w:val="TableText"/>
            </w:pPr>
            <w:r>
              <w:t>S-13</w:t>
            </w:r>
          </w:p>
        </w:tc>
        <w:tc>
          <w:tcPr>
            <w:tcW w:type="dxa" w:w="950"/>
            <w:tcMar>
              <w:top w:w="80" w:type="dxa"/>
              <w:start w:w="120" w:type="dxa"/>
              <w:bottom w:w="80" w:type="dxa"/>
              <w:end w:w="120" w:type="dxa"/>
            </w:tcMar>
            <w:vAlign w:val="center"/>
          </w:tcPr>
          <w:p>
            <w:pPr>
              <w:pStyle w:val="TableText"/>
            </w:pPr>
            <w:r>
              <w:t>Low</w:t>
            </w:r>
          </w:p>
        </w:tc>
        <w:tc>
          <w:tcPr>
            <w:tcW w:type="dxa" w:w="4380"/>
            <w:tcMar>
              <w:top w:w="80" w:type="dxa"/>
              <w:start w:w="120" w:type="dxa"/>
              <w:bottom w:w="80" w:type="dxa"/>
              <w:end w:w="120" w:type="dxa"/>
            </w:tcMar>
            <w:vAlign w:val="center"/>
          </w:tcPr>
          <w:p>
            <w:pPr>
              <w:pStyle w:val="TableText"/>
            </w:pPr>
            <w:r>
              <w:t>Detailed internal errors reach clients</w:t>
            </w:r>
          </w:p>
        </w:tc>
        <w:tc>
          <w:tcPr>
            <w:tcW w:type="dxa" w:w="1900"/>
            <w:tcMar>
              <w:top w:w="80" w:type="dxa"/>
              <w:start w:w="120" w:type="dxa"/>
              <w:bottom w:w="80" w:type="dxa"/>
              <w:end w:w="120" w:type="dxa"/>
            </w:tcMar>
            <w:vAlign w:val="center"/>
          </w:tcPr>
          <w:p>
            <w:pPr>
              <w:pStyle w:val="TableText"/>
            </w:pPr>
            <w:r>
              <w:t>Backend</w:t>
            </w:r>
          </w:p>
        </w:tc>
        <w:tc>
          <w:tcPr>
            <w:tcW w:type="dxa" w:w="1480"/>
            <w:tcMar>
              <w:top w:w="80" w:type="dxa"/>
              <w:start w:w="120" w:type="dxa"/>
              <w:bottom w:w="80" w:type="dxa"/>
              <w:end w:w="120" w:type="dxa"/>
            </w:tcMar>
            <w:vAlign w:val="center"/>
          </w:tcPr>
          <w:p>
            <w:pPr>
              <w:pStyle w:val="TableText"/>
            </w:pPr>
            <w:r>
              <w:t>60d</w:t>
            </w:r>
          </w:p>
        </w:tc>
      </w:tr>
      <w:tr>
        <w:tc>
          <w:tcPr>
            <w:tcW w:type="dxa" w:w="650"/>
            <w:tcMar>
              <w:top w:w="80" w:type="dxa"/>
              <w:start w:w="120" w:type="dxa"/>
              <w:bottom w:w="80" w:type="dxa"/>
              <w:end w:w="120" w:type="dxa"/>
            </w:tcMar>
            <w:vAlign w:val="center"/>
          </w:tcPr>
          <w:p>
            <w:pPr>
              <w:pStyle w:val="TableText"/>
            </w:pPr>
            <w:r>
              <w:t>S-14</w:t>
            </w:r>
          </w:p>
        </w:tc>
        <w:tc>
          <w:tcPr>
            <w:tcW w:type="dxa" w:w="950"/>
            <w:tcMar>
              <w:top w:w="80" w:type="dxa"/>
              <w:start w:w="120" w:type="dxa"/>
              <w:bottom w:w="80" w:type="dxa"/>
              <w:end w:w="120" w:type="dxa"/>
            </w:tcMar>
            <w:vAlign w:val="center"/>
          </w:tcPr>
          <w:p>
            <w:pPr>
              <w:pStyle w:val="TableText"/>
            </w:pPr>
            <w:r>
              <w:t>Low</w:t>
            </w:r>
          </w:p>
        </w:tc>
        <w:tc>
          <w:tcPr>
            <w:tcW w:type="dxa" w:w="4380"/>
            <w:tcMar>
              <w:top w:w="80" w:type="dxa"/>
              <w:start w:w="120" w:type="dxa"/>
              <w:bottom w:w="80" w:type="dxa"/>
              <w:end w:w="120" w:type="dxa"/>
            </w:tcMar>
            <w:vAlign w:val="center"/>
          </w:tcPr>
          <w:p>
            <w:pPr>
              <w:pStyle w:val="TableText"/>
            </w:pPr>
            <w:r>
              <w:t>Stale public Supabase Storage bucket migration</w:t>
            </w:r>
          </w:p>
        </w:tc>
        <w:tc>
          <w:tcPr>
            <w:tcW w:type="dxa" w:w="1900"/>
            <w:tcMar>
              <w:top w:w="80" w:type="dxa"/>
              <w:start w:w="120" w:type="dxa"/>
              <w:bottom w:w="80" w:type="dxa"/>
              <w:end w:w="120" w:type="dxa"/>
            </w:tcMar>
            <w:vAlign w:val="center"/>
          </w:tcPr>
          <w:p>
            <w:pPr>
              <w:pStyle w:val="TableText"/>
            </w:pPr>
            <w:r>
              <w:t>DB / Platform</w:t>
            </w:r>
          </w:p>
        </w:tc>
        <w:tc>
          <w:tcPr>
            <w:tcW w:type="dxa" w:w="1480"/>
            <w:tcMar>
              <w:top w:w="80" w:type="dxa"/>
              <w:start w:w="120" w:type="dxa"/>
              <w:bottom w:w="80" w:type="dxa"/>
              <w:end w:w="120" w:type="dxa"/>
            </w:tcMar>
            <w:vAlign w:val="center"/>
          </w:tcPr>
          <w:p>
            <w:pPr>
              <w:pStyle w:val="TableText"/>
            </w:pPr>
            <w:r>
              <w:t>60d</w:t>
            </w:r>
          </w:p>
        </w:tc>
      </w:tr>
      <w:tr>
        <w:tc>
          <w:tcPr>
            <w:tcW w:type="dxa" w:w="650"/>
            <w:tcMar>
              <w:top w:w="80" w:type="dxa"/>
              <w:start w:w="120" w:type="dxa"/>
              <w:bottom w:w="80" w:type="dxa"/>
              <w:end w:w="120" w:type="dxa"/>
            </w:tcMar>
            <w:vAlign w:val="center"/>
          </w:tcPr>
          <w:p>
            <w:pPr>
              <w:pStyle w:val="TableText"/>
            </w:pPr>
            <w:r>
              <w:t>S-15</w:t>
            </w:r>
          </w:p>
        </w:tc>
        <w:tc>
          <w:tcPr>
            <w:tcW w:type="dxa" w:w="950"/>
            <w:tcMar>
              <w:top w:w="80" w:type="dxa"/>
              <w:start w:w="120" w:type="dxa"/>
              <w:bottom w:w="80" w:type="dxa"/>
              <w:end w:w="120" w:type="dxa"/>
            </w:tcMar>
            <w:vAlign w:val="center"/>
          </w:tcPr>
          <w:p>
            <w:pPr>
              <w:pStyle w:val="TableText"/>
            </w:pPr>
            <w:r>
              <w:t>Medium</w:t>
            </w:r>
          </w:p>
        </w:tc>
        <w:tc>
          <w:tcPr>
            <w:tcW w:type="dxa" w:w="4380"/>
            <w:tcMar>
              <w:top w:w="80" w:type="dxa"/>
              <w:start w:w="120" w:type="dxa"/>
              <w:bottom w:w="80" w:type="dxa"/>
              <w:end w:w="120" w:type="dxa"/>
            </w:tcMar>
            <w:vAlign w:val="center"/>
          </w:tcPr>
          <w:p>
            <w:pPr>
              <w:pStyle w:val="TableText"/>
            </w:pPr>
            <w:r>
              <w:t>Protected-data governance needs explicit controls</w:t>
            </w:r>
          </w:p>
        </w:tc>
        <w:tc>
          <w:tcPr>
            <w:tcW w:type="dxa" w:w="1900"/>
            <w:tcMar>
              <w:top w:w="80" w:type="dxa"/>
              <w:start w:w="120" w:type="dxa"/>
              <w:bottom w:w="80" w:type="dxa"/>
              <w:end w:w="120" w:type="dxa"/>
            </w:tcMar>
            <w:vAlign w:val="center"/>
          </w:tcPr>
          <w:p>
            <w:pPr>
              <w:pStyle w:val="TableText"/>
            </w:pPr>
            <w:r>
              <w:t>Product / Legal</w:t>
            </w:r>
          </w:p>
        </w:tc>
        <w:tc>
          <w:tcPr>
            <w:tcW w:type="dxa" w:w="1480"/>
            <w:tcMar>
              <w:top w:w="80" w:type="dxa"/>
              <w:start w:w="120" w:type="dxa"/>
              <w:bottom w:w="80" w:type="dxa"/>
              <w:end w:w="120" w:type="dxa"/>
            </w:tcMar>
            <w:vAlign w:val="center"/>
          </w:tcPr>
          <w:p>
            <w:pPr>
              <w:pStyle w:val="TableText"/>
            </w:pPr>
            <w:r>
              <w:t>30-60d</w:t>
            </w:r>
          </w:p>
        </w:tc>
      </w:tr>
      <w:tr>
        <w:tc>
          <w:tcPr>
            <w:tcW w:type="dxa" w:w="650"/>
            <w:tcMar>
              <w:top w:w="80" w:type="dxa"/>
              <w:start w:w="120" w:type="dxa"/>
              <w:bottom w:w="80" w:type="dxa"/>
              <w:end w:w="120" w:type="dxa"/>
            </w:tcMar>
            <w:vAlign w:val="center"/>
          </w:tcPr>
          <w:p>
            <w:pPr>
              <w:pStyle w:val="TableText"/>
            </w:pPr>
            <w:r>
              <w:t>S-16</w:t>
            </w:r>
          </w:p>
        </w:tc>
        <w:tc>
          <w:tcPr>
            <w:tcW w:type="dxa" w:w="950"/>
            <w:tcMar>
              <w:top w:w="80" w:type="dxa"/>
              <w:start w:w="120" w:type="dxa"/>
              <w:bottom w:w="80" w:type="dxa"/>
              <w:end w:w="120" w:type="dxa"/>
            </w:tcMar>
            <w:vAlign w:val="center"/>
          </w:tcPr>
          <w:p>
            <w:pPr>
              <w:pStyle w:val="TableText"/>
            </w:pPr>
            <w:r>
              <w:t>Medium</w:t>
            </w:r>
          </w:p>
        </w:tc>
        <w:tc>
          <w:tcPr>
            <w:tcW w:type="dxa" w:w="4380"/>
            <w:tcMar>
              <w:top w:w="80" w:type="dxa"/>
              <w:start w:w="120" w:type="dxa"/>
              <w:bottom w:w="80" w:type="dxa"/>
              <w:end w:w="120" w:type="dxa"/>
            </w:tcMar>
            <w:vAlign w:val="center"/>
          </w:tcPr>
          <w:p>
            <w:pPr>
              <w:pStyle w:val="TableText"/>
            </w:pPr>
            <w:r>
              <w:t>Security regression coverage is insufficient</w:t>
            </w:r>
          </w:p>
        </w:tc>
        <w:tc>
          <w:tcPr>
            <w:tcW w:type="dxa" w:w="1900"/>
            <w:tcMar>
              <w:top w:w="80" w:type="dxa"/>
              <w:start w:w="120" w:type="dxa"/>
              <w:bottom w:w="80" w:type="dxa"/>
              <w:end w:w="120" w:type="dxa"/>
            </w:tcMar>
            <w:vAlign w:val="center"/>
          </w:tcPr>
          <w:p>
            <w:pPr>
              <w:pStyle w:val="TableText"/>
            </w:pPr>
            <w:r>
              <w:t>Engineering</w:t>
            </w:r>
          </w:p>
        </w:tc>
        <w:tc>
          <w:tcPr>
            <w:tcW w:type="dxa" w:w="1480"/>
            <w:tcMar>
              <w:top w:w="80" w:type="dxa"/>
              <w:start w:w="120" w:type="dxa"/>
              <w:bottom w:w="80" w:type="dxa"/>
              <w:end w:w="120" w:type="dxa"/>
            </w:tcMar>
            <w:vAlign w:val="center"/>
          </w:tcPr>
          <w:p>
            <w:pPr>
              <w:pStyle w:val="TableText"/>
            </w:pPr>
            <w:r>
              <w:t>30-60d</w:t>
            </w:r>
          </w:p>
        </w:tc>
      </w:tr>
    </w:tbl>
    <w:p>
      <w:pPr>
        <w:spacing w:after="0"/>
      </w:pPr>
    </w:p>
    <w:p>
      <w:bookmarkStart w:id="6" w:name="section_6"/>
      <w:pPr>
        <w:pStyle w:val="Heading2"/>
      </w:pPr>
      <w:r>
        <w:t>S-01  Self-service role escalation through profiles</w:t>
      </w:r>
      <w:bookmarkEnd w:id="6"/>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1350"/>
        <w:gridCol w:w="1450"/>
        <w:gridCol w:w="6560"/>
      </w:tblGrid>
      <w:tr>
        <w:trPr>
          <w:tblHeader w:val="true"/>
        </w:trPr>
        <w:tc>
          <w:tcPr>
            <w:tcW w:type="dxa" w:w="1350"/>
            <w:shd w:fill="0F5E5A"/>
            <w:tcMar>
              <w:top w:w="80" w:type="dxa"/>
              <w:start w:w="120" w:type="dxa"/>
              <w:bottom w:w="80" w:type="dxa"/>
              <w:end w:w="120" w:type="dxa"/>
            </w:tcMar>
            <w:vAlign w:val="center"/>
          </w:tcPr>
          <w:p>
            <w:pPr>
              <w:pStyle w:val="TableText"/>
            </w:pPr>
            <w:r>
              <w:rPr>
                <w:b/>
                <w:color w:val="FFFFFF"/>
              </w:rPr>
              <w:t>Severity</w:t>
            </w:r>
          </w:p>
        </w:tc>
        <w:tc>
          <w:tcPr>
            <w:tcW w:type="dxa" w:w="1450"/>
            <w:shd w:fill="0F5E5A"/>
            <w:tcMar>
              <w:top w:w="80" w:type="dxa"/>
              <w:start w:w="120" w:type="dxa"/>
              <w:bottom w:w="80" w:type="dxa"/>
              <w:end w:w="120" w:type="dxa"/>
            </w:tcMar>
            <w:vAlign w:val="center"/>
          </w:tcPr>
          <w:p>
            <w:pPr>
              <w:pStyle w:val="TableText"/>
            </w:pPr>
            <w:r>
              <w:rPr>
                <w:b/>
                <w:color w:val="FFFFFF"/>
              </w:rPr>
              <w:t>Confidence</w:t>
            </w:r>
          </w:p>
        </w:tc>
        <w:tc>
          <w:tcPr>
            <w:tcW w:type="dxa" w:w="6560"/>
            <w:shd w:fill="0F5E5A"/>
            <w:tcMar>
              <w:top w:w="80" w:type="dxa"/>
              <w:start w:w="120" w:type="dxa"/>
              <w:bottom w:w="80" w:type="dxa"/>
              <w:end w:w="120" w:type="dxa"/>
            </w:tcMar>
            <w:vAlign w:val="center"/>
          </w:tcPr>
          <w:p>
            <w:pPr>
              <w:pStyle w:val="TableText"/>
            </w:pPr>
            <w:r>
              <w:rPr>
                <w:b/>
                <w:color w:val="FFFFFF"/>
              </w:rPr>
              <w:t>Primary impact</w:t>
            </w:r>
          </w:p>
        </w:tc>
      </w:tr>
      <w:tr>
        <w:tc>
          <w:tcPr>
            <w:tcW w:type="dxa" w:w="1350"/>
            <w:tcMar>
              <w:top w:w="80" w:type="dxa"/>
              <w:start w:w="120" w:type="dxa"/>
              <w:bottom w:w="80" w:type="dxa"/>
              <w:end w:w="120" w:type="dxa"/>
            </w:tcMar>
            <w:vAlign w:val="center"/>
          </w:tcPr>
          <w:p>
            <w:pPr>
              <w:pStyle w:val="TableText"/>
            </w:pPr>
            <w:r>
              <w:t>CRITICAL</w:t>
            </w:r>
          </w:p>
        </w:tc>
        <w:tc>
          <w:tcPr>
            <w:tcW w:type="dxa" w:w="1450"/>
            <w:tcMar>
              <w:top w:w="80" w:type="dxa"/>
              <w:start w:w="120" w:type="dxa"/>
              <w:bottom w:w="80" w:type="dxa"/>
              <w:end w:w="120" w:type="dxa"/>
            </w:tcMar>
            <w:vAlign w:val="center"/>
          </w:tcPr>
          <w:p>
            <w:pPr>
              <w:pStyle w:val="TableText"/>
            </w:pPr>
            <w:r>
              <w:t>Confirmed / high</w:t>
            </w:r>
          </w:p>
        </w:tc>
        <w:tc>
          <w:tcPr>
            <w:tcW w:type="dxa" w:w="6560"/>
            <w:tcMar>
              <w:top w:w="80" w:type="dxa"/>
              <w:start w:w="120" w:type="dxa"/>
              <w:bottom w:w="80" w:type="dxa"/>
              <w:end w:w="120" w:type="dxa"/>
            </w:tcMar>
            <w:vAlign w:val="center"/>
          </w:tcPr>
          <w:p>
            <w:pPr>
              <w:pStyle w:val="TableText"/>
            </w:pPr>
            <w:r>
              <w:t>An ordinary authenticated account can plausibly assign itself staff or owner authority, after which the server grants administrative access.</w:t>
            </w:r>
          </w:p>
        </w:tc>
      </w:tr>
    </w:tbl>
    <w:p>
      <w:pPr>
        <w:spacing w:after="0"/>
      </w:pPr>
    </w:p>
    <w:p>
      <w:bookmarkStart w:id="7" w:name="section_7"/>
      <w:pPr>
        <w:pStyle w:val="Heading3"/>
      </w:pPr>
      <w:r>
        <w:t>What was observed</w:t>
      </w:r>
      <w:bookmarkEnd w:id="7"/>
    </w:p>
    <w:p>
      <w:r>
        <w:t>An ordinary authenticated account can plausibly assign itself staff or owner authority, after which the server grants administrative access.</w:t>
      </w:r>
    </w:p>
    <w:p>
      <w:pPr>
        <w:pStyle w:val="Evidence"/>
      </w:pPr>
      <w:r>
        <w:t>supabase/migrations/0001_initial_platform.sql:6-10 - profiles includes the role column.</w:t>
      </w:r>
    </w:p>
    <w:p>
      <w:pPr>
        <w:pStyle w:val="Evidence"/>
      </w:pPr>
      <w:r>
        <w:t>supabase/migrations/0001_initial_platform.sql:88-89 - user may update own profile row; no column restriction is defined.</w:t>
      </w:r>
    </w:p>
    <w:p>
      <w:pPr>
        <w:pStyle w:val="Evidence"/>
      </w:pPr>
      <w:r>
        <w:t>app/lib/admin-server.ts:98-126 - staff authorization reads profiles.role with the service-role client.</w:t>
      </w:r>
    </w:p>
    <w:p>
      <w:pPr>
        <w:pStyle w:val="Evidence"/>
      </w:pPr>
      <w:r>
        <w:t>app/components/auth/SignUpWizard.tsx:66-70 - comment states email confirmation is temporarily disabled.</w:t>
      </w:r>
    </w:p>
    <w:p>
      <w:bookmarkStart w:id="8" w:name="section_8"/>
      <w:pPr>
        <w:pStyle w:val="Heading3"/>
      </w:pPr>
      <w:r>
        <w:t>Recommended remediation</w:t>
      </w:r>
      <w:bookmarkEnd w:id="8"/>
    </w:p>
    <w:p>
      <w:pPr>
        <w:numPr>
          <w:ilvl w:val="0"/>
          <w:numId w:val="12"/>
        </w:numPr>
        <w:keepLines/>
        <w:spacing w:after="80"/>
      </w:pPr>
      <w:r>
        <w:t>Emergency migration: revoke UPDATE on public.profiles from authenticated, then grant only the specific user-editable columns. Do not include role, id, or administrative metadata.</w:t>
      </w:r>
    </w:p>
    <w:p>
      <w:pPr>
        <w:numPr>
          <w:ilvl w:val="0"/>
          <w:numId w:val="12"/>
        </w:numPr>
        <w:keepLines/>
        <w:spacing w:after="80"/>
      </w:pPr>
      <w:r>
        <w:t>Preferred design: move privileged role assignments to a separate private table with no client write access. Expose role changes only through an owner-only server operation or security-definer function with a strict allowlist and audit record.</w:t>
      </w:r>
    </w:p>
    <w:p>
      <w:pPr>
        <w:numPr>
          <w:ilvl w:val="0"/>
          <w:numId w:val="12"/>
        </w:numPr>
        <w:keepLines/>
        <w:spacing w:after="80"/>
      </w:pPr>
      <w:r>
        <w:t>Audit every profile whose role is contributor, editor, staff, or owner. Compare creation time, promotion time, actor, and recent administrative writes. Preserve evidence before correcting unauthorized records.</w:t>
      </w:r>
    </w:p>
    <w:p>
      <w:pPr>
        <w:numPr>
          <w:ilvl w:val="0"/>
          <w:numId w:val="12"/>
        </w:numPr>
        <w:keepLines/>
        <w:spacing w:after="80"/>
      </w:pPr>
      <w:r>
        <w:t>Invalidate active sessions for suspicious accounts and rotate service credentials if logs indicate service-role exposure or unauthorized administrative access.</w:t>
      </w:r>
    </w:p>
    <w:p>
      <w:pPr>
        <w:numPr>
          <w:ilvl w:val="0"/>
          <w:numId w:val="12"/>
        </w:numPr>
        <w:keepLines/>
        <w:spacing w:after="80"/>
      </w:pPr>
      <w:r>
        <w:t>Re-enable and verify production email confirmation. This does not replace the role fix, but it reduces instant anonymous account creation.</w:t>
      </w:r>
    </w:p>
    <w:p>
      <w:bookmarkStart w:id="9" w:name="section_9"/>
      <w:pPr>
        <w:pStyle w:val="Heading3"/>
      </w:pPr>
      <w:r>
        <w:t>Verification / exit criteria</w:t>
      </w:r>
      <w:bookmarkEnd w:id="9"/>
    </w:p>
    <w:p>
      <w:pPr>
        <w:numPr>
          <w:ilvl w:val="0"/>
          <w:numId w:val="13"/>
        </w:numPr>
        <w:keepLines/>
        <w:spacing w:after="80"/>
      </w:pPr>
      <w:r>
        <w:t>Authenticated users can update permitted profile fields but receive a database authorization failure when changing role, id, or administrative fields through direct REST calls.</w:t>
      </w:r>
    </w:p>
    <w:p>
      <w:pPr>
        <w:numPr>
          <w:ilvl w:val="0"/>
          <w:numId w:val="13"/>
        </w:numPr>
        <w:keepLines/>
        <w:spacing w:after="80"/>
      </w:pPr>
      <w:r>
        <w:t>Only an owner-only server path can assign staff roles, and every assignment records actor, target, old value, new value, time, and request correlation ID.</w:t>
      </w:r>
    </w:p>
    <w:p>
      <w:pPr>
        <w:numPr>
          <w:ilvl w:val="0"/>
          <w:numId w:val="13"/>
        </w:numPr>
        <w:keepLines/>
        <w:spacing w:after="80"/>
      </w:pPr>
      <w:r>
        <w:t>Integration tests attempt self-promotion through Supabase REST and the application API and must fail.</w:t>
      </w:r>
    </w:p>
    <w:p>
      <w:bookmarkStart w:id="10" w:name="section_10"/>
      <w:pPr>
        <w:pStyle w:val="Heading2"/>
      </w:pPr>
      <w:r>
        <w:t>S-02  Known vulnerable dependency set</w:t>
      </w:r>
      <w:bookmarkEnd w:id="10"/>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1350"/>
        <w:gridCol w:w="1450"/>
        <w:gridCol w:w="6560"/>
      </w:tblGrid>
      <w:tr>
        <w:trPr>
          <w:tblHeader w:val="true"/>
        </w:trPr>
        <w:tc>
          <w:tcPr>
            <w:tcW w:type="dxa" w:w="1350"/>
            <w:shd w:fill="0F5E5A"/>
            <w:tcMar>
              <w:top w:w="80" w:type="dxa"/>
              <w:start w:w="120" w:type="dxa"/>
              <w:bottom w:w="80" w:type="dxa"/>
              <w:end w:w="120" w:type="dxa"/>
            </w:tcMar>
            <w:vAlign w:val="center"/>
          </w:tcPr>
          <w:p>
            <w:pPr>
              <w:pStyle w:val="TableText"/>
            </w:pPr>
            <w:r>
              <w:rPr>
                <w:b/>
                <w:color w:val="FFFFFF"/>
              </w:rPr>
              <w:t>Severity</w:t>
            </w:r>
          </w:p>
        </w:tc>
        <w:tc>
          <w:tcPr>
            <w:tcW w:type="dxa" w:w="1450"/>
            <w:shd w:fill="0F5E5A"/>
            <w:tcMar>
              <w:top w:w="80" w:type="dxa"/>
              <w:start w:w="120" w:type="dxa"/>
              <w:bottom w:w="80" w:type="dxa"/>
              <w:end w:w="120" w:type="dxa"/>
            </w:tcMar>
            <w:vAlign w:val="center"/>
          </w:tcPr>
          <w:p>
            <w:pPr>
              <w:pStyle w:val="TableText"/>
            </w:pPr>
            <w:r>
              <w:rPr>
                <w:b/>
                <w:color w:val="FFFFFF"/>
              </w:rPr>
              <w:t>Confidence</w:t>
            </w:r>
          </w:p>
        </w:tc>
        <w:tc>
          <w:tcPr>
            <w:tcW w:type="dxa" w:w="6560"/>
            <w:shd w:fill="0F5E5A"/>
            <w:tcMar>
              <w:top w:w="80" w:type="dxa"/>
              <w:start w:w="120" w:type="dxa"/>
              <w:bottom w:w="80" w:type="dxa"/>
              <w:end w:w="120" w:type="dxa"/>
            </w:tcMar>
            <w:vAlign w:val="center"/>
          </w:tcPr>
          <w:p>
            <w:pPr>
              <w:pStyle w:val="TableText"/>
            </w:pPr>
            <w:r>
              <w:rPr>
                <w:b/>
                <w:color w:val="FFFFFF"/>
              </w:rPr>
              <w:t>Primary impact</w:t>
            </w:r>
          </w:p>
        </w:tc>
      </w:tr>
      <w:tr>
        <w:tc>
          <w:tcPr>
            <w:tcW w:type="dxa" w:w="1350"/>
            <w:tcMar>
              <w:top w:w="80" w:type="dxa"/>
              <w:start w:w="120" w:type="dxa"/>
              <w:bottom w:w="80" w:type="dxa"/>
              <w:end w:w="120" w:type="dxa"/>
            </w:tcMar>
            <w:vAlign w:val="center"/>
          </w:tcPr>
          <w:p>
            <w:pPr>
              <w:pStyle w:val="TableText"/>
            </w:pPr>
            <w:r>
              <w:t>HIGH</w:t>
            </w:r>
          </w:p>
        </w:tc>
        <w:tc>
          <w:tcPr>
            <w:tcW w:type="dxa" w:w="1450"/>
            <w:tcMar>
              <w:top w:w="80" w:type="dxa"/>
              <w:start w:w="120" w:type="dxa"/>
              <w:bottom w:w="80" w:type="dxa"/>
              <w:end w:w="120" w:type="dxa"/>
            </w:tcMar>
            <w:vAlign w:val="center"/>
          </w:tcPr>
          <w:p>
            <w:pPr>
              <w:pStyle w:val="TableText"/>
            </w:pPr>
            <w:r>
              <w:t>Confirmed</w:t>
            </w:r>
          </w:p>
        </w:tc>
        <w:tc>
          <w:tcPr>
            <w:tcW w:type="dxa" w:w="6560"/>
            <w:tcMar>
              <w:top w:w="80" w:type="dxa"/>
              <w:start w:w="120" w:type="dxa"/>
              <w:bottom w:w="80" w:type="dxa"/>
              <w:end w:w="120" w:type="dxa"/>
            </w:tcMar>
            <w:vAlign w:val="center"/>
          </w:tcPr>
          <w:p>
            <w:pPr>
              <w:pStyle w:val="TableText"/>
            </w:pPr>
            <w:r>
              <w:t>The current lockfile resolves 18 known vulnerabilities: 16 high and 2 low. Advisories include routing/proxy bypass and denial-of-service classes in framework/runtime packages.</w:t>
            </w:r>
          </w:p>
        </w:tc>
      </w:tr>
    </w:tbl>
    <w:p>
      <w:pPr>
        <w:spacing w:after="0"/>
      </w:pPr>
    </w:p>
    <w:p>
      <w:bookmarkStart w:id="11" w:name="section_11"/>
      <w:pPr>
        <w:pStyle w:val="Heading3"/>
      </w:pPr>
      <w:r>
        <w:t>What was observed</w:t>
      </w:r>
      <w:bookmarkEnd w:id="11"/>
    </w:p>
    <w:p>
      <w:r>
        <w:t>The current lockfile resolves 18 known vulnerabilities: 16 high and 2 low. Advisories include routing/proxy bypass and denial-of-service classes in framework/runtime packages.</w:t>
      </w:r>
    </w:p>
    <w:p>
      <w:pPr>
        <w:pStyle w:val="Evidence"/>
      </w:pPr>
      <w:r>
        <w:t>package.json - next 16.2.6, react/react-dom 19.2.6, vite 8.0.13, @cloudflare/vite-plugin 1.37.1, wrangler 4.92.0, vinext 0.0.50.</w:t>
      </w:r>
    </w:p>
    <w:p>
      <w:pPr>
        <w:pStyle w:val="Evidence"/>
      </w:pPr>
      <w:r>
        <w:t>npm audit --json on 8 August 2026 - 18 total vulnerabilities (16 high, 2 low, 0 critical).</w:t>
      </w:r>
    </w:p>
    <w:p>
      <w:pPr>
        <w:pStyle w:val="Evidence"/>
      </w:pPr>
      <w:r>
        <w:t>Examples: Next.js fixed relevant 16.x advisories at 16.2.11; React Server Components fixed DoS at 19.2.8; Vite fixed Windows deny bypass at 8.0.16.</w:t>
      </w:r>
    </w:p>
    <w:p>
      <w:bookmarkStart w:id="12" w:name="section_12"/>
      <w:pPr>
        <w:pStyle w:val="Heading3"/>
      </w:pPr>
      <w:r>
        <w:t>Recommended remediation</w:t>
      </w:r>
      <w:bookmarkEnd w:id="12"/>
    </w:p>
    <w:p>
      <w:pPr>
        <w:numPr>
          <w:ilvl w:val="0"/>
          <w:numId w:val="14"/>
        </w:numPr>
        <w:keepLines/>
        <w:spacing w:after="80"/>
      </w:pPr>
      <w:r>
        <w:t>Upgrade Next.js to at least 16.2.11, preferably the tested current compatible 16.3.x release. Align react, react-dom, and react-server-dom-webpack at 19.2.8 or later.</w:t>
      </w:r>
    </w:p>
    <w:p>
      <w:pPr>
        <w:numPr>
          <w:ilvl w:val="0"/>
          <w:numId w:val="14"/>
        </w:numPr>
        <w:keepLines/>
        <w:spacing w:after="80"/>
      </w:pPr>
      <w:r>
        <w:t>Upgrade Vite to at least 8.0.16, the Cloudflare Vite plugin to a current compatible release (audit suggested 1.51.1), and Wrangler/Miniflare together.</w:t>
      </w:r>
    </w:p>
    <w:p>
      <w:pPr>
        <w:numPr>
          <w:ilvl w:val="0"/>
          <w:numId w:val="14"/>
        </w:numPr>
        <w:keepLines/>
        <w:spacing w:after="80"/>
      </w:pPr>
      <w:r>
        <w:t>Treat Vinext separately: npm audit proposed a downgrade for one transitive issue. Validate a supported Vinext release and image-size resolution instead of running npm audit fix --force blindly.</w:t>
      </w:r>
    </w:p>
    <w:p>
      <w:pPr>
        <w:numPr>
          <w:ilvl w:val="0"/>
          <w:numId w:val="14"/>
        </w:numPr>
        <w:keepLines/>
        <w:spacing w:after="80"/>
      </w:pPr>
      <w:r>
        <w:t>Regenerate the lockfile in a branch; run clean install, clean build, route/API/security tests, Cloudflare preview deployment, and smoke tests before production rollout.</w:t>
      </w:r>
    </w:p>
    <w:p>
      <w:bookmarkStart w:id="13" w:name="section_13"/>
      <w:pPr>
        <w:pStyle w:val="Heading3"/>
      </w:pPr>
      <w:r>
        <w:t>Verification / exit criteria</w:t>
      </w:r>
      <w:bookmarkEnd w:id="13"/>
    </w:p>
    <w:p>
      <w:pPr>
        <w:numPr>
          <w:ilvl w:val="0"/>
          <w:numId w:val="15"/>
        </w:numPr>
        <w:keepLines/>
        <w:spacing w:after="80"/>
      </w:pPr>
      <w:r>
        <w:t>npm audit has no high/critical items that are reachable in the supported production/build path, or every accepted exception has an owner, rationale, compensating control, and expiry date.</w:t>
      </w:r>
    </w:p>
    <w:p>
      <w:pPr>
        <w:numPr>
          <w:ilvl w:val="0"/>
          <w:numId w:val="15"/>
        </w:numPr>
        <w:keepLines/>
        <w:spacing w:after="80"/>
      </w:pPr>
      <w:r>
        <w:t>Clean production build and deployment preview pass; authentication, admin authorization, media delivery, uploads, and locale routes behave as expected.</w:t>
      </w:r>
    </w:p>
    <w:p>
      <w:bookmarkStart w:id="14" w:name="section_14"/>
      <w:pPr>
        <w:pStyle w:val="Heading2"/>
      </w:pPr>
      <w:r>
        <w:t>S-03  Members-only media is publicly retrievable</w:t>
      </w:r>
      <w:bookmarkEnd w:id="14"/>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1350"/>
        <w:gridCol w:w="1450"/>
        <w:gridCol w:w="6560"/>
      </w:tblGrid>
      <w:tr>
        <w:trPr>
          <w:tblHeader w:val="true"/>
        </w:trPr>
        <w:tc>
          <w:tcPr>
            <w:tcW w:type="dxa" w:w="1350"/>
            <w:shd w:fill="0F5E5A"/>
            <w:tcMar>
              <w:top w:w="80" w:type="dxa"/>
              <w:start w:w="120" w:type="dxa"/>
              <w:bottom w:w="80" w:type="dxa"/>
              <w:end w:w="120" w:type="dxa"/>
            </w:tcMar>
            <w:vAlign w:val="center"/>
          </w:tcPr>
          <w:p>
            <w:pPr>
              <w:pStyle w:val="TableText"/>
            </w:pPr>
            <w:r>
              <w:rPr>
                <w:b/>
                <w:color w:val="FFFFFF"/>
              </w:rPr>
              <w:t>Severity</w:t>
            </w:r>
          </w:p>
        </w:tc>
        <w:tc>
          <w:tcPr>
            <w:tcW w:type="dxa" w:w="1450"/>
            <w:shd w:fill="0F5E5A"/>
            <w:tcMar>
              <w:top w:w="80" w:type="dxa"/>
              <w:start w:w="120" w:type="dxa"/>
              <w:bottom w:w="80" w:type="dxa"/>
              <w:end w:w="120" w:type="dxa"/>
            </w:tcMar>
            <w:vAlign w:val="center"/>
          </w:tcPr>
          <w:p>
            <w:pPr>
              <w:pStyle w:val="TableText"/>
            </w:pPr>
            <w:r>
              <w:rPr>
                <w:b/>
                <w:color w:val="FFFFFF"/>
              </w:rPr>
              <w:t>Confidence</w:t>
            </w:r>
          </w:p>
        </w:tc>
        <w:tc>
          <w:tcPr>
            <w:tcW w:type="dxa" w:w="6560"/>
            <w:shd w:fill="0F5E5A"/>
            <w:tcMar>
              <w:top w:w="80" w:type="dxa"/>
              <w:start w:w="120" w:type="dxa"/>
              <w:bottom w:w="80" w:type="dxa"/>
              <w:end w:w="120" w:type="dxa"/>
            </w:tcMar>
            <w:vAlign w:val="center"/>
          </w:tcPr>
          <w:p>
            <w:pPr>
              <w:pStyle w:val="TableText"/>
            </w:pPr>
            <w:r>
              <w:rPr>
                <w:b/>
                <w:color w:val="FFFFFF"/>
              </w:rPr>
              <w:t>Primary impact</w:t>
            </w:r>
          </w:p>
        </w:tc>
      </w:tr>
      <w:tr>
        <w:tc>
          <w:tcPr>
            <w:tcW w:type="dxa" w:w="1350"/>
            <w:tcMar>
              <w:top w:w="80" w:type="dxa"/>
              <w:start w:w="120" w:type="dxa"/>
              <w:bottom w:w="80" w:type="dxa"/>
              <w:end w:w="120" w:type="dxa"/>
            </w:tcMar>
            <w:vAlign w:val="center"/>
          </w:tcPr>
          <w:p>
            <w:pPr>
              <w:pStyle w:val="TableText"/>
            </w:pPr>
            <w:r>
              <w:t>HIGH</w:t>
            </w:r>
          </w:p>
        </w:tc>
        <w:tc>
          <w:tcPr>
            <w:tcW w:type="dxa" w:w="1450"/>
            <w:tcMar>
              <w:top w:w="80" w:type="dxa"/>
              <w:start w:w="120" w:type="dxa"/>
              <w:bottom w:w="80" w:type="dxa"/>
              <w:end w:w="120" w:type="dxa"/>
            </w:tcMar>
            <w:vAlign w:val="center"/>
          </w:tcPr>
          <w:p>
            <w:pPr>
              <w:pStyle w:val="TableText"/>
            </w:pPr>
            <w:r>
              <w:t>Confirmed</w:t>
            </w:r>
          </w:p>
        </w:tc>
        <w:tc>
          <w:tcPr>
            <w:tcW w:type="dxa" w:w="6560"/>
            <w:tcMar>
              <w:top w:w="80" w:type="dxa"/>
              <w:start w:w="120" w:type="dxa"/>
              <w:bottom w:w="80" w:type="dxa"/>
              <w:end w:w="120" w:type="dxa"/>
            </w:tcMar>
            <w:vAlign w:val="center"/>
          </w:tcPr>
          <w:p>
            <w:pPr>
              <w:pStyle w:val="TableText"/>
            </w:pPr>
            <w:r>
              <w:t>A database row may be members-only while its image or document remains available to anyone who knows or receives the stable media URL.</w:t>
            </w:r>
          </w:p>
        </w:tc>
      </w:tr>
    </w:tbl>
    <w:p>
      <w:pPr>
        <w:spacing w:after="0"/>
      </w:pPr>
    </w:p>
    <w:p>
      <w:bookmarkStart w:id="15" w:name="section_15"/>
      <w:pPr>
        <w:pStyle w:val="Heading3"/>
      </w:pPr>
      <w:r>
        <w:t>What was observed</w:t>
      </w:r>
      <w:bookmarkEnd w:id="15"/>
    </w:p>
    <w:p>
      <w:r>
        <w:t>A database row may be members-only while its image or document remains available to anyone who knows or receives the stable media URL.</w:t>
      </w:r>
    </w:p>
    <w:p>
      <w:pPr>
        <w:pStyle w:val="Evidence"/>
      </w:pPr>
      <w:r>
        <w:t>app/api/media/[...path]/route.ts - reads an arbitrary R2 key without session or content-access checks.</w:t>
      </w:r>
    </w:p>
    <w:p>
      <w:pPr>
        <w:pStyle w:val="Evidence"/>
      </w:pPr>
      <w:r>
        <w:t>app/api/media/[...path]/route.ts - returns public, immutable caching for one year.</w:t>
      </w:r>
    </w:p>
    <w:p>
      <w:pPr>
        <w:pStyle w:val="Evidence"/>
      </w:pPr>
      <w:r>
        <w:t>supabase/migrations/0007_fix_library_rls_and_admin_fields.sql - restricts members-only database rows, but cannot protect a separate public R2 URL.</w:t>
      </w:r>
    </w:p>
    <w:p>
      <w:bookmarkStart w:id="16" w:name="section_16"/>
      <w:pPr>
        <w:pStyle w:val="Heading3"/>
      </w:pPr>
      <w:r>
        <w:t>Recommended remediation</w:t>
      </w:r>
      <w:bookmarkEnd w:id="16"/>
    </w:p>
    <w:p>
      <w:pPr>
        <w:numPr>
          <w:ilvl w:val="0"/>
          <w:numId w:val="16"/>
        </w:numPr>
        <w:keepLines/>
        <w:spacing w:after="80"/>
      </w:pPr>
      <w:r>
        <w:t>Separate public and protected object namespaces or buckets. Public assets may retain cache-friendly delivery; protected assets must default to private.</w:t>
      </w:r>
    </w:p>
    <w:p>
      <w:pPr>
        <w:numPr>
          <w:ilvl w:val="0"/>
          <w:numId w:val="16"/>
        </w:numPr>
        <w:keepLines/>
        <w:spacing w:after="80"/>
      </w:pPr>
      <w:r>
        <w:t>For protected delivery, verify the caller session and the content-to-object relationship before reading R2. Avoid authorizing only by path possession.</w:t>
      </w:r>
    </w:p>
    <w:p>
      <w:pPr>
        <w:numPr>
          <w:ilvl w:val="0"/>
          <w:numId w:val="16"/>
        </w:numPr>
        <w:keepLines/>
        <w:spacing w:after="80"/>
      </w:pPr>
      <w:r>
        <w:t>Use short-lived signed/tokenized downloads or an authenticated streaming endpoint. Set private/no-store or a deliberately short private cache policy; define revocation behavior.</w:t>
      </w:r>
    </w:p>
    <w:p>
      <w:pPr>
        <w:numPr>
          <w:ilvl w:val="0"/>
          <w:numId w:val="16"/>
        </w:numPr>
        <w:keepLines/>
        <w:spacing w:after="80"/>
      </w:pPr>
      <w:r>
        <w:t>Inventory existing members-only records and rotate/move their object keys. Stable historical public URLs should be considered disclosed.</w:t>
      </w:r>
    </w:p>
    <w:p>
      <w:bookmarkStart w:id="17" w:name="section_17"/>
      <w:pPr>
        <w:pStyle w:val="Heading3"/>
      </w:pPr>
      <w:r>
        <w:t>Verification / exit criteria</w:t>
      </w:r>
      <w:bookmarkEnd w:id="17"/>
    </w:p>
    <w:p>
      <w:pPr>
        <w:numPr>
          <w:ilvl w:val="0"/>
          <w:numId w:val="17"/>
        </w:numPr>
        <w:keepLines/>
        <w:spacing w:after="80"/>
      </w:pPr>
      <w:r>
        <w:t>Anonymous requests and authenticated-but-unentitled requests to every protected object return 401/403 without reading the object.</w:t>
      </w:r>
    </w:p>
    <w:p>
      <w:pPr>
        <w:numPr>
          <w:ilvl w:val="0"/>
          <w:numId w:val="17"/>
        </w:numPr>
        <w:keepLines/>
        <w:spacing w:after="80"/>
      </w:pPr>
      <w:r>
        <w:t>Sharing a copied protected URL does not grant access in another browser; access is rechecked after membership is removed.</w:t>
      </w:r>
    </w:p>
    <w:p>
      <w:bookmarkStart w:id="18" w:name="section_18"/>
      <w:pPr>
        <w:pStyle w:val="Heading2"/>
      </w:pPr>
      <w:r>
        <w:t>S-04  Administrative writes lack record ownership scope</w:t>
      </w:r>
      <w:bookmarkEnd w:id="18"/>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1350"/>
        <w:gridCol w:w="1450"/>
        <w:gridCol w:w="6560"/>
      </w:tblGrid>
      <w:tr>
        <w:trPr>
          <w:tblHeader w:val="true"/>
        </w:trPr>
        <w:tc>
          <w:tcPr>
            <w:tcW w:type="dxa" w:w="1350"/>
            <w:shd w:fill="0F5E5A"/>
            <w:tcMar>
              <w:top w:w="80" w:type="dxa"/>
              <w:start w:w="120" w:type="dxa"/>
              <w:bottom w:w="80" w:type="dxa"/>
              <w:end w:w="120" w:type="dxa"/>
            </w:tcMar>
            <w:vAlign w:val="center"/>
          </w:tcPr>
          <w:p>
            <w:pPr>
              <w:pStyle w:val="TableText"/>
            </w:pPr>
            <w:r>
              <w:rPr>
                <w:b/>
                <w:color w:val="FFFFFF"/>
              </w:rPr>
              <w:t>Severity</w:t>
            </w:r>
          </w:p>
        </w:tc>
        <w:tc>
          <w:tcPr>
            <w:tcW w:type="dxa" w:w="1450"/>
            <w:shd w:fill="0F5E5A"/>
            <w:tcMar>
              <w:top w:w="80" w:type="dxa"/>
              <w:start w:w="120" w:type="dxa"/>
              <w:bottom w:w="80" w:type="dxa"/>
              <w:end w:w="120" w:type="dxa"/>
            </w:tcMar>
            <w:vAlign w:val="center"/>
          </w:tcPr>
          <w:p>
            <w:pPr>
              <w:pStyle w:val="TableText"/>
            </w:pPr>
            <w:r>
              <w:rPr>
                <w:b/>
                <w:color w:val="FFFFFF"/>
              </w:rPr>
              <w:t>Confidence</w:t>
            </w:r>
          </w:p>
        </w:tc>
        <w:tc>
          <w:tcPr>
            <w:tcW w:type="dxa" w:w="6560"/>
            <w:shd w:fill="0F5E5A"/>
            <w:tcMar>
              <w:top w:w="80" w:type="dxa"/>
              <w:start w:w="120" w:type="dxa"/>
              <w:bottom w:w="80" w:type="dxa"/>
              <w:end w:w="120" w:type="dxa"/>
            </w:tcMar>
            <w:vAlign w:val="center"/>
          </w:tcPr>
          <w:p>
            <w:pPr>
              <w:pStyle w:val="TableText"/>
            </w:pPr>
            <w:r>
              <w:rPr>
                <w:b/>
                <w:color w:val="FFFFFF"/>
              </w:rPr>
              <w:t>Primary impact</w:t>
            </w:r>
          </w:p>
        </w:tc>
      </w:tr>
      <w:tr>
        <w:tc>
          <w:tcPr>
            <w:tcW w:type="dxa" w:w="1350"/>
            <w:tcMar>
              <w:top w:w="80" w:type="dxa"/>
              <w:start w:w="120" w:type="dxa"/>
              <w:bottom w:w="80" w:type="dxa"/>
              <w:end w:w="120" w:type="dxa"/>
            </w:tcMar>
            <w:vAlign w:val="center"/>
          </w:tcPr>
          <w:p>
            <w:pPr>
              <w:pStyle w:val="TableText"/>
            </w:pPr>
            <w:r>
              <w:t>HIGH</w:t>
            </w:r>
          </w:p>
        </w:tc>
        <w:tc>
          <w:tcPr>
            <w:tcW w:type="dxa" w:w="1450"/>
            <w:tcMar>
              <w:top w:w="80" w:type="dxa"/>
              <w:start w:w="120" w:type="dxa"/>
              <w:bottom w:w="80" w:type="dxa"/>
              <w:end w:w="120" w:type="dxa"/>
            </w:tcMar>
            <w:vAlign w:val="center"/>
          </w:tcPr>
          <w:p>
            <w:pPr>
              <w:pStyle w:val="TableText"/>
            </w:pPr>
            <w:r>
              <w:t>High</w:t>
            </w:r>
          </w:p>
        </w:tc>
        <w:tc>
          <w:tcPr>
            <w:tcW w:type="dxa" w:w="6560"/>
            <w:tcMar>
              <w:top w:w="80" w:type="dxa"/>
              <w:start w:w="120" w:type="dxa"/>
              <w:bottom w:w="80" w:type="dxa"/>
              <w:end w:w="120" w:type="dxa"/>
            </w:tcMar>
            <w:vAlign w:val="center"/>
          </w:tcPr>
          <w:p>
            <w:pPr>
              <w:pStyle w:val="TableText"/>
            </w:pPr>
            <w:r>
              <w:t>A contributor can write broadly across content/research records, and client-provided media storage paths can influence orphan cleanup. This exceeds least privilege and can enable unauthorized edits or object deletion.</w:t>
            </w:r>
          </w:p>
        </w:tc>
      </w:tr>
    </w:tbl>
    <w:p>
      <w:pPr>
        <w:spacing w:after="0"/>
      </w:pPr>
    </w:p>
    <w:p>
      <w:bookmarkStart w:id="19" w:name="section_19"/>
      <w:pPr>
        <w:pStyle w:val="Heading3"/>
      </w:pPr>
      <w:r>
        <w:t>What was observed</w:t>
      </w:r>
      <w:bookmarkEnd w:id="19"/>
    </w:p>
    <w:p>
      <w:r>
        <w:t>A contributor can write broadly across content/research records, and client-provided media storage paths can influence orphan cleanup. This exceeds least privilege and can enable unauthorized edits or object deletion.</w:t>
      </w:r>
    </w:p>
    <w:p>
      <w:pPr>
        <w:pStyle w:val="Evidence"/>
      </w:pPr>
      <w:r>
        <w:t>app/lib/admin-server.ts:98-126 and writable-resource policy - contributor/editor roles receive broad resource write capability.</w:t>
      </w:r>
    </w:p>
    <w:p>
      <w:pPr>
        <w:pStyle w:val="Evidence"/>
      </w:pPr>
      <w:r>
        <w:t>app/api/admin/[resource]/route.ts - service-role update is selected by caller-provided resource/id without a record-owner or assignment predicate.</w:t>
      </w:r>
    </w:p>
    <w:p>
      <w:pPr>
        <w:pStyle w:val="Evidence"/>
      </w:pPr>
      <w:r>
        <w:t>app/api/admin/[resource]/route.ts - media payload accepts storage_path and cleanup removes no-longer-referenced R2 keys.</w:t>
      </w:r>
    </w:p>
    <w:p>
      <w:bookmarkStart w:id="20" w:name="section_20"/>
      <w:pPr>
        <w:pStyle w:val="Heading3"/>
      </w:pPr>
      <w:r>
        <w:t>Recommended remediation</w:t>
      </w:r>
      <w:bookmarkEnd w:id="20"/>
    </w:p>
    <w:p>
      <w:pPr>
        <w:numPr>
          <w:ilvl w:val="0"/>
          <w:numId w:val="18"/>
        </w:numPr>
        <w:keepLines/>
        <w:spacing w:after="80"/>
      </w:pPr>
      <w:r>
        <w:t>Add record ownership/assignment columns and authorize each mutation against role plus assignment. Owners may override; editors need an explicit domain; contributors should only modify assigned drafts.</w:t>
      </w:r>
    </w:p>
    <w:p>
      <w:pPr>
        <w:numPr>
          <w:ilvl w:val="0"/>
          <w:numId w:val="18"/>
        </w:numPr>
        <w:keepLines/>
        <w:spacing w:after="80"/>
      </w:pPr>
      <w:r>
        <w:t>Generate object IDs and paths server-side. Store uploader/owner and content relationship. Reject raw storage keys that were not issued to the current upload/session.</w:t>
      </w:r>
    </w:p>
    <w:p>
      <w:pPr>
        <w:numPr>
          <w:ilvl w:val="0"/>
          <w:numId w:val="18"/>
        </w:numPr>
        <w:keepLines/>
        <w:spacing w:after="80"/>
      </w:pPr>
      <w:r>
        <w:t>Make destructive media cleanup asynchronous and ownership-aware; retain a recovery window or soft-delete marker.</w:t>
      </w:r>
    </w:p>
    <w:p>
      <w:pPr>
        <w:numPr>
          <w:ilvl w:val="0"/>
          <w:numId w:val="18"/>
        </w:numPr>
        <w:keepLines/>
        <w:spacing w:after="80"/>
      </w:pPr>
      <w:r>
        <w:t>Split the generic mega-route into resource services with explicit permission policies and typed schemas.</w:t>
      </w:r>
    </w:p>
    <w:p>
      <w:bookmarkStart w:id="21" w:name="section_21"/>
      <w:pPr>
        <w:pStyle w:val="Heading3"/>
      </w:pPr>
      <w:r>
        <w:t>Verification / exit criteria</w:t>
      </w:r>
      <w:bookmarkEnd w:id="21"/>
    </w:p>
    <w:p>
      <w:pPr>
        <w:numPr>
          <w:ilvl w:val="0"/>
          <w:numId w:val="19"/>
        </w:numPr>
        <w:keepLines/>
        <w:spacing w:after="80"/>
      </w:pPr>
      <w:r>
        <w:t>A contributor cannot update or attach media to another contributor's unassigned record, even when guessing its UUID or object key.</w:t>
      </w:r>
    </w:p>
    <w:p>
      <w:pPr>
        <w:numPr>
          <w:ilvl w:val="0"/>
          <w:numId w:val="19"/>
        </w:numPr>
        <w:keepLines/>
        <w:spacing w:after="80"/>
      </w:pPr>
      <w:r>
        <w:t>Authorization tests cover every role/resource/action combination and direct ID/key tampering.</w:t>
      </w:r>
    </w:p>
    <w:p>
      <w:bookmarkStart w:id="22" w:name="section_22"/>
      <w:pPr>
        <w:pStyle w:val="Heading2"/>
      </w:pPr>
      <w:r>
        <w:t>S-05  Upload content is insufficiently validated</w:t>
      </w:r>
      <w:bookmarkEnd w:id="22"/>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1350"/>
        <w:gridCol w:w="1450"/>
        <w:gridCol w:w="6560"/>
      </w:tblGrid>
      <w:tr>
        <w:trPr>
          <w:tblHeader w:val="true"/>
        </w:trPr>
        <w:tc>
          <w:tcPr>
            <w:tcW w:type="dxa" w:w="1350"/>
            <w:shd w:fill="0F5E5A"/>
            <w:tcMar>
              <w:top w:w="80" w:type="dxa"/>
              <w:start w:w="120" w:type="dxa"/>
              <w:bottom w:w="80" w:type="dxa"/>
              <w:end w:w="120" w:type="dxa"/>
            </w:tcMar>
            <w:vAlign w:val="center"/>
          </w:tcPr>
          <w:p>
            <w:pPr>
              <w:pStyle w:val="TableText"/>
            </w:pPr>
            <w:r>
              <w:rPr>
                <w:b/>
                <w:color w:val="FFFFFF"/>
              </w:rPr>
              <w:t>Severity</w:t>
            </w:r>
          </w:p>
        </w:tc>
        <w:tc>
          <w:tcPr>
            <w:tcW w:type="dxa" w:w="1450"/>
            <w:shd w:fill="0F5E5A"/>
            <w:tcMar>
              <w:top w:w="80" w:type="dxa"/>
              <w:start w:w="120" w:type="dxa"/>
              <w:bottom w:w="80" w:type="dxa"/>
              <w:end w:w="120" w:type="dxa"/>
            </w:tcMar>
            <w:vAlign w:val="center"/>
          </w:tcPr>
          <w:p>
            <w:pPr>
              <w:pStyle w:val="TableText"/>
            </w:pPr>
            <w:r>
              <w:rPr>
                <w:b/>
                <w:color w:val="FFFFFF"/>
              </w:rPr>
              <w:t>Confidence</w:t>
            </w:r>
          </w:p>
        </w:tc>
        <w:tc>
          <w:tcPr>
            <w:tcW w:type="dxa" w:w="6560"/>
            <w:shd w:fill="0F5E5A"/>
            <w:tcMar>
              <w:top w:w="80" w:type="dxa"/>
              <w:start w:w="120" w:type="dxa"/>
              <w:bottom w:w="80" w:type="dxa"/>
              <w:end w:w="120" w:type="dxa"/>
            </w:tcMar>
            <w:vAlign w:val="center"/>
          </w:tcPr>
          <w:p>
            <w:pPr>
              <w:pStyle w:val="TableText"/>
            </w:pPr>
            <w:r>
              <w:rPr>
                <w:b/>
                <w:color w:val="FFFFFF"/>
              </w:rPr>
              <w:t>Primary impact</w:t>
            </w:r>
          </w:p>
        </w:tc>
      </w:tr>
      <w:tr>
        <w:tc>
          <w:tcPr>
            <w:tcW w:type="dxa" w:w="1350"/>
            <w:tcMar>
              <w:top w:w="80" w:type="dxa"/>
              <w:start w:w="120" w:type="dxa"/>
              <w:bottom w:w="80" w:type="dxa"/>
              <w:end w:w="120" w:type="dxa"/>
            </w:tcMar>
            <w:vAlign w:val="center"/>
          </w:tcPr>
          <w:p>
            <w:pPr>
              <w:pStyle w:val="TableText"/>
            </w:pPr>
            <w:r>
              <w:t>HIGH</w:t>
            </w:r>
          </w:p>
        </w:tc>
        <w:tc>
          <w:tcPr>
            <w:tcW w:type="dxa" w:w="1450"/>
            <w:tcMar>
              <w:top w:w="80" w:type="dxa"/>
              <w:start w:w="120" w:type="dxa"/>
              <w:bottom w:w="80" w:type="dxa"/>
              <w:end w:w="120" w:type="dxa"/>
            </w:tcMar>
            <w:vAlign w:val="center"/>
          </w:tcPr>
          <w:p>
            <w:pPr>
              <w:pStyle w:val="TableText"/>
            </w:pPr>
            <w:r>
              <w:t>Confirmed</w:t>
            </w:r>
          </w:p>
        </w:tc>
        <w:tc>
          <w:tcPr>
            <w:tcW w:type="dxa" w:w="6560"/>
            <w:tcMar>
              <w:top w:w="80" w:type="dxa"/>
              <w:start w:w="120" w:type="dxa"/>
              <w:bottom w:w="80" w:type="dxa"/>
              <w:end w:w="120" w:type="dxa"/>
            </w:tcMar>
            <w:vAlign w:val="center"/>
          </w:tcPr>
          <w:p>
            <w:pPr>
              <w:pStyle w:val="TableText"/>
            </w:pPr>
            <w:r>
              <w:t>The upload endpoint enforces authentication, an allowlisted browser MIME value, a 10 MB limit, and a normalized filename, but it does not verify the actual file signature or scan/re-encode content.</w:t>
            </w:r>
          </w:p>
        </w:tc>
      </w:tr>
    </w:tbl>
    <w:p>
      <w:pPr>
        <w:spacing w:after="0"/>
      </w:pPr>
    </w:p>
    <w:p>
      <w:bookmarkStart w:id="23" w:name="section_23"/>
      <w:pPr>
        <w:pStyle w:val="Heading3"/>
      </w:pPr>
      <w:r>
        <w:t>What was observed</w:t>
      </w:r>
      <w:bookmarkEnd w:id="23"/>
    </w:p>
    <w:p>
      <w:r>
        <w:t>The upload endpoint enforces authentication, an allowlisted browser MIME value, a 10 MB limit, and a normalized filename, but it does not verify the actual file signature or scan/re-encode content.</w:t>
      </w:r>
    </w:p>
    <w:p>
      <w:pPr>
        <w:pStyle w:val="Evidence"/>
      </w:pPr>
      <w:r>
        <w:t>app/api/admin/upload/route.ts:4-23 - allowed types and size limit.</w:t>
      </w:r>
    </w:p>
    <w:p>
      <w:pPr>
        <w:pStyle w:val="Evidence"/>
      </w:pPr>
      <w:r>
        <w:t>app/api/admin/upload/route.ts - extension comes from the supplied filename and type comes from file.type.</w:t>
      </w:r>
    </w:p>
    <w:p>
      <w:pPr>
        <w:pStyle w:val="Evidence"/>
      </w:pPr>
      <w:r>
        <w:t>app/api/media/[...path]/route.ts - lacks a comprehensive safe-content response policy such as nosniff and document disposition.</w:t>
      </w:r>
    </w:p>
    <w:p>
      <w:bookmarkStart w:id="24" w:name="section_24"/>
      <w:pPr>
        <w:pStyle w:val="Heading3"/>
      </w:pPr>
      <w:r>
        <w:t>Recommended remediation</w:t>
      </w:r>
      <w:bookmarkEnd w:id="24"/>
    </w:p>
    <w:p>
      <w:pPr>
        <w:numPr>
          <w:ilvl w:val="0"/>
          <w:numId w:val="20"/>
        </w:numPr>
        <w:keepLines/>
        <w:spacing w:after="80"/>
      </w:pPr>
      <w:r>
        <w:t>Validate magic bytes and decode the file with a trusted parser. Re-encode images to a known-safe output, stripping metadata unless explicitly needed.</w:t>
      </w:r>
    </w:p>
    <w:p>
      <w:pPr>
        <w:numPr>
          <w:ilvl w:val="0"/>
          <w:numId w:val="20"/>
        </w:numPr>
        <w:keepLines/>
        <w:spacing w:after="80"/>
      </w:pPr>
      <w:r>
        <w:t>Quarantine and malware-scan PDFs; consider content disarm and reconstruction. Serve documents with explicit Content-Type, X-Content-Type-Options: nosniff, and a deliberate Content-Disposition.</w:t>
      </w:r>
    </w:p>
    <w:p>
      <w:pPr>
        <w:numPr>
          <w:ilvl w:val="0"/>
          <w:numId w:val="20"/>
        </w:numPr>
        <w:keepLines/>
        <w:spacing w:after="80"/>
      </w:pPr>
      <w:r>
        <w:t>Generate UUID object names server-side and reject filename/extension/MIME mismatches, malformed images, polyglots, active document content, and decompression bombs.</w:t>
      </w:r>
    </w:p>
    <w:p>
      <w:pPr>
        <w:numPr>
          <w:ilvl w:val="0"/>
          <w:numId w:val="20"/>
        </w:numPr>
        <w:keepLines/>
        <w:spacing w:after="80"/>
      </w:pPr>
      <w:r>
        <w:t>Log upload actor, original name, normalized name, detected type, hash, size, scan result, and linked record without storing sensitive content in logs.</w:t>
      </w:r>
    </w:p>
    <w:p>
      <w:bookmarkStart w:id="25" w:name="section_25"/>
      <w:pPr>
        <w:pStyle w:val="Heading3"/>
      </w:pPr>
      <w:r>
        <w:t>Verification / exit criteria</w:t>
      </w:r>
      <w:bookmarkEnd w:id="25"/>
    </w:p>
    <w:p>
      <w:pPr>
        <w:numPr>
          <w:ilvl w:val="0"/>
          <w:numId w:val="21"/>
        </w:numPr>
        <w:keepLines/>
        <w:spacing w:after="80"/>
      </w:pPr>
      <w:r>
        <w:t>A test corpus covering renamed executables, polyglots, malformed images, oversized PDFs, and MIME mismatches is rejected; normal JPEG/PNG/WebP/PDF files are accepted.</w:t>
      </w:r>
    </w:p>
    <w:p>
      <w:pPr>
        <w:numPr>
          <w:ilvl w:val="0"/>
          <w:numId w:val="21"/>
        </w:numPr>
        <w:keepLines/>
        <w:spacing w:after="80"/>
      </w:pPr>
      <w:r>
        <w:t>Uploaded protected files are inaccessible until scan status is clean and the content relationship is authorized.</w:t>
      </w:r>
    </w:p>
    <w:p>
      <w:bookmarkStart w:id="26" w:name="section_26"/>
      <w:pPr>
        <w:pStyle w:val="Heading1"/>
      </w:pPr>
      <w:r>
        <w:t>Detailed medium and low findings</w:t>
      </w:r>
      <w:bookmarkEnd w:id="26"/>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650"/>
        <w:gridCol w:w="2740"/>
        <w:gridCol w:w="2530"/>
        <w:gridCol w:w="3440"/>
      </w:tblGrid>
      <w:tr>
        <w:trPr>
          <w:tblHeader w:val="true"/>
        </w:trPr>
        <w:tc>
          <w:tcPr>
            <w:tcW w:type="dxa" w:w="650"/>
            <w:shd w:fill="0F5E5A"/>
            <w:tcMar>
              <w:top w:w="80" w:type="dxa"/>
              <w:start w:w="120" w:type="dxa"/>
              <w:bottom w:w="80" w:type="dxa"/>
              <w:end w:w="120" w:type="dxa"/>
            </w:tcMar>
            <w:vAlign w:val="center"/>
          </w:tcPr>
          <w:p>
            <w:pPr>
              <w:pStyle w:val="TableText"/>
            </w:pPr>
            <w:r>
              <w:rPr>
                <w:b/>
                <w:color w:val="FFFFFF"/>
              </w:rPr>
              <w:t>ID</w:t>
            </w:r>
          </w:p>
        </w:tc>
        <w:tc>
          <w:tcPr>
            <w:tcW w:type="dxa" w:w="2740"/>
            <w:shd w:fill="0F5E5A"/>
            <w:tcMar>
              <w:top w:w="80" w:type="dxa"/>
              <w:start w:w="120" w:type="dxa"/>
              <w:bottom w:w="80" w:type="dxa"/>
              <w:end w:w="120" w:type="dxa"/>
            </w:tcMar>
            <w:vAlign w:val="center"/>
          </w:tcPr>
          <w:p>
            <w:pPr>
              <w:pStyle w:val="TableText"/>
            </w:pPr>
            <w:r>
              <w:rPr>
                <w:b/>
                <w:color w:val="FFFFFF"/>
              </w:rPr>
              <w:t>Observation</w:t>
            </w:r>
          </w:p>
        </w:tc>
        <w:tc>
          <w:tcPr>
            <w:tcW w:type="dxa" w:w="2530"/>
            <w:shd w:fill="0F5E5A"/>
            <w:tcMar>
              <w:top w:w="80" w:type="dxa"/>
              <w:start w:w="120" w:type="dxa"/>
              <w:bottom w:w="80" w:type="dxa"/>
              <w:end w:w="120" w:type="dxa"/>
            </w:tcMar>
            <w:vAlign w:val="center"/>
          </w:tcPr>
          <w:p>
            <w:pPr>
              <w:pStyle w:val="TableText"/>
            </w:pPr>
            <w:r>
              <w:rPr>
                <w:b/>
                <w:color w:val="FFFFFF"/>
              </w:rPr>
              <w:t>Why it matters</w:t>
            </w:r>
          </w:p>
        </w:tc>
        <w:tc>
          <w:tcPr>
            <w:tcW w:type="dxa" w:w="3440"/>
            <w:shd w:fill="0F5E5A"/>
            <w:tcMar>
              <w:top w:w="80" w:type="dxa"/>
              <w:start w:w="120" w:type="dxa"/>
              <w:bottom w:w="80" w:type="dxa"/>
              <w:end w:w="120" w:type="dxa"/>
            </w:tcMar>
            <w:vAlign w:val="center"/>
          </w:tcPr>
          <w:p>
            <w:pPr>
              <w:pStyle w:val="TableText"/>
            </w:pPr>
            <w:r>
              <w:rPr>
                <w:b/>
                <w:color w:val="FFFFFF"/>
              </w:rPr>
              <w:t>Recommended control</w:t>
            </w:r>
          </w:p>
        </w:tc>
      </w:tr>
      <w:tr>
        <w:tc>
          <w:tcPr>
            <w:tcW w:type="dxa" w:w="650"/>
            <w:tcMar>
              <w:top w:w="80" w:type="dxa"/>
              <w:start w:w="120" w:type="dxa"/>
              <w:bottom w:w="80" w:type="dxa"/>
              <w:end w:w="120" w:type="dxa"/>
            </w:tcMar>
            <w:vAlign w:val="center"/>
          </w:tcPr>
          <w:p>
            <w:pPr>
              <w:pStyle w:val="TableText"/>
            </w:pPr>
            <w:r>
              <w:t>S-06</w:t>
            </w:r>
          </w:p>
        </w:tc>
        <w:tc>
          <w:tcPr>
            <w:tcW w:type="dxa" w:w="2740"/>
            <w:tcMar>
              <w:top w:w="80" w:type="dxa"/>
              <w:start w:w="120" w:type="dxa"/>
              <w:bottom w:w="80" w:type="dxa"/>
              <w:end w:w="120" w:type="dxa"/>
            </w:tcMar>
            <w:vAlign w:val="center"/>
          </w:tcPr>
          <w:p>
            <w:pPr>
              <w:pStyle w:val="TableText"/>
            </w:pPr>
            <w:r>
              <w:t>next.config.ts and generated _headers do not define CSP, HSTS, nosniff, frame restrictions, referrer, or permissions policy.</w:t>
            </w:r>
          </w:p>
        </w:tc>
        <w:tc>
          <w:tcPr>
            <w:tcW w:type="dxa" w:w="2530"/>
            <w:tcMar>
              <w:top w:w="80" w:type="dxa"/>
              <w:start w:w="120" w:type="dxa"/>
              <w:bottom w:w="80" w:type="dxa"/>
              <w:end w:w="120" w:type="dxa"/>
            </w:tcMar>
            <w:vAlign w:val="center"/>
          </w:tcPr>
          <w:p>
            <w:pPr>
              <w:pStyle w:val="TableText"/>
            </w:pPr>
            <w:r>
              <w:t>Weakens browser containment for XSS, framing, MIME confusion, and data leakage.</w:t>
            </w:r>
          </w:p>
        </w:tc>
        <w:tc>
          <w:tcPr>
            <w:tcW w:type="dxa" w:w="3440"/>
            <w:tcMar>
              <w:top w:w="80" w:type="dxa"/>
              <w:start w:w="120" w:type="dxa"/>
              <w:bottom w:w="80" w:type="dxa"/>
              <w:end w:w="120" w:type="dxa"/>
            </w:tcMar>
            <w:vAlign w:val="center"/>
          </w:tcPr>
          <w:p>
            <w:pPr>
              <w:pStyle w:val="TableText"/>
            </w:pPr>
            <w:r>
              <w:t>Add tested response headers. Use nonce/hash or externalized early theme script for CSP. Roll out report-only CSP first.</w:t>
            </w:r>
          </w:p>
        </w:tc>
      </w:tr>
      <w:tr>
        <w:tc>
          <w:tcPr>
            <w:tcW w:type="dxa" w:w="650"/>
            <w:tcMar>
              <w:top w:w="80" w:type="dxa"/>
              <w:start w:w="120" w:type="dxa"/>
              <w:bottom w:w="80" w:type="dxa"/>
              <w:end w:w="120" w:type="dxa"/>
            </w:tcMar>
            <w:vAlign w:val="center"/>
          </w:tcPr>
          <w:p>
            <w:pPr>
              <w:pStyle w:val="TableText"/>
            </w:pPr>
            <w:r>
              <w:t>S-07</w:t>
            </w:r>
          </w:p>
        </w:tc>
        <w:tc>
          <w:tcPr>
            <w:tcW w:type="dxa" w:w="2740"/>
            <w:tcMar>
              <w:top w:w="80" w:type="dxa"/>
              <w:start w:w="120" w:type="dxa"/>
              <w:bottom w:w="80" w:type="dxa"/>
              <w:end w:w="120" w:type="dxa"/>
            </w:tcMar>
            <w:vAlign w:val="center"/>
          </w:tcPr>
          <w:p>
            <w:pPr>
              <w:pStyle w:val="TableText"/>
            </w:pPr>
            <w:r>
              <w:t>No application or source-visible Cloudflare rate-limit policy was found. Media cache keys use the full URL, allowing query variants to fragment cache.</w:t>
            </w:r>
          </w:p>
        </w:tc>
        <w:tc>
          <w:tcPr>
            <w:tcW w:type="dxa" w:w="2530"/>
            <w:tcMar>
              <w:top w:w="80" w:type="dxa"/>
              <w:start w:w="120" w:type="dxa"/>
              <w:bottom w:w="80" w:type="dxa"/>
              <w:end w:w="120" w:type="dxa"/>
            </w:tcMar>
            <w:vAlign w:val="center"/>
          </w:tcPr>
          <w:p>
            <w:pPr>
              <w:pStyle w:val="TableText"/>
            </w:pPr>
            <w:r>
              <w:t>Login/admin/media abuse can amplify Supabase/R2 cost and resource use.</w:t>
            </w:r>
          </w:p>
        </w:tc>
        <w:tc>
          <w:tcPr>
            <w:tcW w:type="dxa" w:w="3440"/>
            <w:tcMar>
              <w:top w:w="80" w:type="dxa"/>
              <w:start w:w="120" w:type="dxa"/>
              <w:bottom w:w="80" w:type="dxa"/>
              <w:end w:w="120" w:type="dxa"/>
            </w:tcMar>
            <w:vAlign w:val="center"/>
          </w:tcPr>
          <w:p>
            <w:pPr>
              <w:pStyle w:val="TableText"/>
            </w:pPr>
            <w:r>
              <w:t>Add per-path WAF/rate limits; reject or normalize media queries; briefly cache misses; alert on spikes.</w:t>
            </w:r>
          </w:p>
        </w:tc>
      </w:tr>
      <w:tr>
        <w:tc>
          <w:tcPr>
            <w:tcW w:type="dxa" w:w="650"/>
            <w:tcMar>
              <w:top w:w="80" w:type="dxa"/>
              <w:start w:w="120" w:type="dxa"/>
              <w:bottom w:w="80" w:type="dxa"/>
              <w:end w:w="120" w:type="dxa"/>
            </w:tcMar>
            <w:vAlign w:val="center"/>
          </w:tcPr>
          <w:p>
            <w:pPr>
              <w:pStyle w:val="TableText"/>
            </w:pPr>
            <w:r>
              <w:t>S-08</w:t>
            </w:r>
          </w:p>
        </w:tc>
        <w:tc>
          <w:tcPr>
            <w:tcW w:type="dxa" w:w="2740"/>
            <w:tcMar>
              <w:top w:w="80" w:type="dxa"/>
              <w:start w:w="120" w:type="dxa"/>
              <w:bottom w:w="80" w:type="dxa"/>
              <w:end w:w="120" w:type="dxa"/>
            </w:tcMar>
            <w:vAlign w:val="center"/>
          </w:tcPr>
          <w:p>
            <w:pPr>
              <w:pStyle w:val="TableText"/>
            </w:pPr>
            <w:r>
              <w:t>Staff endpoints verify bearer tokens and roles but do not require AAL2/MFA. Sign-up code says email confirmation is disabled.</w:t>
            </w:r>
          </w:p>
        </w:tc>
        <w:tc>
          <w:tcPr>
            <w:tcW w:type="dxa" w:w="2530"/>
            <w:tcMar>
              <w:top w:w="80" w:type="dxa"/>
              <w:start w:w="120" w:type="dxa"/>
              <w:bottom w:w="80" w:type="dxa"/>
              <w:end w:w="120" w:type="dxa"/>
            </w:tcMar>
            <w:vAlign w:val="center"/>
          </w:tcPr>
          <w:p>
            <w:pPr>
              <w:pStyle w:val="TableText"/>
            </w:pPr>
            <w:r>
              <w:t>One stolen password/token can become a privileged session; instant unverified accounts increase abuse.</w:t>
            </w:r>
          </w:p>
        </w:tc>
        <w:tc>
          <w:tcPr>
            <w:tcW w:type="dxa" w:w="3440"/>
            <w:tcMar>
              <w:top w:w="80" w:type="dxa"/>
              <w:start w:w="120" w:type="dxa"/>
              <w:bottom w:w="80" w:type="dxa"/>
              <w:end w:w="120" w:type="dxa"/>
            </w:tcMar>
            <w:vAlign w:val="center"/>
          </w:tcPr>
          <w:p>
            <w:pPr>
              <w:pStyle w:val="TableText"/>
            </w:pPr>
            <w:r>
              <w:t>Require verified email in production and AAL2 for staff/owner actions; provide recovery and break-glass procedures.</w:t>
            </w:r>
          </w:p>
        </w:tc>
      </w:tr>
      <w:tr>
        <w:tc>
          <w:tcPr>
            <w:tcW w:type="dxa" w:w="650"/>
            <w:tcMar>
              <w:top w:w="80" w:type="dxa"/>
              <w:start w:w="120" w:type="dxa"/>
              <w:bottom w:w="80" w:type="dxa"/>
              <w:end w:w="120" w:type="dxa"/>
            </w:tcMar>
            <w:vAlign w:val="center"/>
          </w:tcPr>
          <w:p>
            <w:pPr>
              <w:pStyle w:val="TableText"/>
            </w:pPr>
            <w:r>
              <w:t>S-09</w:t>
            </w:r>
          </w:p>
        </w:tc>
        <w:tc>
          <w:tcPr>
            <w:tcW w:type="dxa" w:w="2740"/>
            <w:tcMar>
              <w:top w:w="80" w:type="dxa"/>
              <w:start w:w="120" w:type="dxa"/>
              <w:bottom w:w="80" w:type="dxa"/>
              <w:end w:w="120" w:type="dxa"/>
            </w:tcMar>
            <w:vAlign w:val="center"/>
          </w:tcPr>
          <w:p>
            <w:pPr>
              <w:pStyle w:val="TableText"/>
            </w:pPr>
            <w:r>
              <w:t>Event, research, paper, media, and related raw URL fields use text validation rather than centralized scheme/host validation.</w:t>
            </w:r>
          </w:p>
        </w:tc>
        <w:tc>
          <w:tcPr>
            <w:tcW w:type="dxa" w:w="2530"/>
            <w:tcMar>
              <w:top w:w="80" w:type="dxa"/>
              <w:start w:w="120" w:type="dxa"/>
              <w:bottom w:w="80" w:type="dxa"/>
              <w:end w:w="120" w:type="dxa"/>
            </w:tcMar>
            <w:vAlign w:val="center"/>
          </w:tcPr>
          <w:p>
            <w:pPr>
              <w:pStyle w:val="TableText"/>
            </w:pPr>
            <w:r>
              <w:t>Unsafe or deceptive links can be persisted outside the rich-text sanitizer.</w:t>
            </w:r>
          </w:p>
        </w:tc>
        <w:tc>
          <w:tcPr>
            <w:tcW w:type="dxa" w:w="3440"/>
            <w:tcMar>
              <w:top w:w="80" w:type="dxa"/>
              <w:start w:w="120" w:type="dxa"/>
              <w:bottom w:w="80" w:type="dxa"/>
              <w:end w:w="120" w:type="dxa"/>
            </w:tcMar>
            <w:vAlign w:val="center"/>
          </w:tcPr>
          <w:p>
            <w:pPr>
              <w:pStyle w:val="TableText"/>
            </w:pPr>
            <w:r>
              <w:t>Allow only required schemes, validate/normalize URLs server-side, apply host policies for embeds, and reject local/private targets.</w:t>
            </w:r>
          </w:p>
        </w:tc>
      </w:tr>
      <w:tr>
        <w:tc>
          <w:tcPr>
            <w:tcW w:type="dxa" w:w="650"/>
            <w:tcMar>
              <w:top w:w="80" w:type="dxa"/>
              <w:start w:w="120" w:type="dxa"/>
              <w:bottom w:w="80" w:type="dxa"/>
              <w:end w:w="120" w:type="dxa"/>
            </w:tcMar>
            <w:vAlign w:val="center"/>
          </w:tcPr>
          <w:p>
            <w:pPr>
              <w:pStyle w:val="TableText"/>
            </w:pPr>
            <w:r>
              <w:t>S-10</w:t>
            </w:r>
          </w:p>
        </w:tc>
        <w:tc>
          <w:tcPr>
            <w:tcW w:type="dxa" w:w="2740"/>
            <w:tcMar>
              <w:top w:w="80" w:type="dxa"/>
              <w:start w:w="120" w:type="dxa"/>
              <w:bottom w:w="80" w:type="dxa"/>
              <w:end w:w="120" w:type="dxa"/>
            </w:tcMar>
            <w:vAlign w:val="center"/>
          </w:tcPr>
          <w:p>
            <w:pPr>
              <w:pStyle w:val="TableText"/>
            </w:pPr>
            <w:r>
              <w:t>Locale metadata derives the origin from x-forwarded-host/host when no configured base is used.</w:t>
            </w:r>
          </w:p>
        </w:tc>
        <w:tc>
          <w:tcPr>
            <w:tcW w:type="dxa" w:w="2530"/>
            <w:tcMar>
              <w:top w:w="80" w:type="dxa"/>
              <w:start w:w="120" w:type="dxa"/>
              <w:bottom w:w="80" w:type="dxa"/>
              <w:end w:w="120" w:type="dxa"/>
            </w:tcMar>
            <w:vAlign w:val="center"/>
          </w:tcPr>
          <w:p>
            <w:pPr>
              <w:pStyle w:val="TableText"/>
            </w:pPr>
            <w:r>
              <w:t>A forged/untrusted host can influence canonical and social metadata, depending on proxy/cache behavior.</w:t>
            </w:r>
          </w:p>
        </w:tc>
        <w:tc>
          <w:tcPr>
            <w:tcW w:type="dxa" w:w="3440"/>
            <w:tcMar>
              <w:top w:w="80" w:type="dxa"/>
              <w:start w:w="120" w:type="dxa"/>
              <w:bottom w:w="80" w:type="dxa"/>
              <w:end w:w="120" w:type="dxa"/>
            </w:tcMar>
            <w:vAlign w:val="center"/>
          </w:tcPr>
          <w:p>
            <w:pPr>
              <w:pStyle w:val="TableText"/>
            </w:pPr>
            <w:r>
              <w:t>Use a deployment SITE_URL and trusted-host allowlist. Generate page-specific canonical/hreflang metadata.</w:t>
            </w:r>
          </w:p>
        </w:tc>
      </w:tr>
      <w:tr>
        <w:tc>
          <w:tcPr>
            <w:tcW w:type="dxa" w:w="650"/>
            <w:tcMar>
              <w:top w:w="80" w:type="dxa"/>
              <w:start w:w="120" w:type="dxa"/>
              <w:bottom w:w="80" w:type="dxa"/>
              <w:end w:w="120" w:type="dxa"/>
            </w:tcMar>
            <w:vAlign w:val="center"/>
          </w:tcPr>
          <w:p>
            <w:pPr>
              <w:pStyle w:val="TableText"/>
            </w:pPr>
            <w:r>
              <w:t>S-11</w:t>
            </w:r>
          </w:p>
        </w:tc>
        <w:tc>
          <w:tcPr>
            <w:tcW w:type="dxa" w:w="2740"/>
            <w:tcMar>
              <w:top w:w="80" w:type="dxa"/>
              <w:start w:w="120" w:type="dxa"/>
              <w:bottom w:w="80" w:type="dxa"/>
              <w:end w:w="120" w:type="dxa"/>
            </w:tcMar>
            <w:vAlign w:val="center"/>
          </w:tcPr>
          <w:p>
            <w:pPr>
              <w:pStyle w:val="TableText"/>
            </w:pPr>
            <w:r>
              <w:t>CRUD uses a service role; related-row replacement is delete-then-insert and not atomic. There is no durable admin audit trail.</w:t>
            </w:r>
          </w:p>
        </w:tc>
        <w:tc>
          <w:tcPr>
            <w:tcW w:type="dxa" w:w="2530"/>
            <w:tcMar>
              <w:top w:w="80" w:type="dxa"/>
              <w:start w:w="120" w:type="dxa"/>
              <w:bottom w:w="80" w:type="dxa"/>
              <w:end w:w="120" w:type="dxa"/>
            </w:tcMar>
            <w:vAlign w:val="center"/>
          </w:tcPr>
          <w:p>
            <w:pPr>
              <w:pStyle w:val="TableText"/>
            </w:pPr>
            <w:r>
              <w:t>Partial failure can lose relationships; disputed or malicious changes are difficult to reconstruct.</w:t>
            </w:r>
          </w:p>
        </w:tc>
        <w:tc>
          <w:tcPr>
            <w:tcW w:type="dxa" w:w="3440"/>
            <w:tcMar>
              <w:top w:w="80" w:type="dxa"/>
              <w:start w:w="120" w:type="dxa"/>
              <w:bottom w:w="80" w:type="dxa"/>
              <w:end w:w="120" w:type="dxa"/>
            </w:tcMar>
            <w:vAlign w:val="center"/>
          </w:tcPr>
          <w:p>
            <w:pPr>
              <w:pStyle w:val="TableText"/>
            </w:pPr>
            <w:r>
              <w:t>Use transactional SQL/RPC, append-only audit events, soft delete/recovery, and request correlation IDs.</w:t>
            </w:r>
          </w:p>
        </w:tc>
      </w:tr>
      <w:tr>
        <w:tc>
          <w:tcPr>
            <w:tcW w:type="dxa" w:w="650"/>
            <w:tcMar>
              <w:top w:w="80" w:type="dxa"/>
              <w:start w:w="120" w:type="dxa"/>
              <w:bottom w:w="80" w:type="dxa"/>
              <w:end w:w="120" w:type="dxa"/>
            </w:tcMar>
            <w:vAlign w:val="center"/>
          </w:tcPr>
          <w:p>
            <w:pPr>
              <w:pStyle w:val="TableText"/>
            </w:pPr>
            <w:r>
              <w:t>S-12</w:t>
            </w:r>
          </w:p>
        </w:tc>
        <w:tc>
          <w:tcPr>
            <w:tcW w:type="dxa" w:w="2740"/>
            <w:tcMar>
              <w:top w:w="80" w:type="dxa"/>
              <w:start w:w="120" w:type="dxa"/>
              <w:bottom w:w="80" w:type="dxa"/>
              <w:end w:w="120" w:type="dxa"/>
            </w:tcMar>
            <w:vAlign w:val="center"/>
          </w:tcPr>
          <w:p>
            <w:pPr>
              <w:pStyle w:val="TableText"/>
            </w:pPr>
            <w:r>
              <w:t>Owner-protection logic includes a personal email literal in code and migration history.</w:t>
            </w:r>
          </w:p>
        </w:tc>
        <w:tc>
          <w:tcPr>
            <w:tcW w:type="dxa" w:w="2530"/>
            <w:tcMar>
              <w:top w:w="80" w:type="dxa"/>
              <w:start w:w="120" w:type="dxa"/>
              <w:bottom w:w="80" w:type="dxa"/>
              <w:end w:w="120" w:type="dxa"/>
            </w:tcMar>
            <w:vAlign w:val="center"/>
          </w:tcPr>
          <w:p>
            <w:pPr>
              <w:pStyle w:val="TableText"/>
            </w:pPr>
            <w:r>
              <w:t>Identity policy becomes fragile and exposes personal operational data.</w:t>
            </w:r>
          </w:p>
        </w:tc>
        <w:tc>
          <w:tcPr>
            <w:tcW w:type="dxa" w:w="3440"/>
            <w:tcMar>
              <w:top w:w="80" w:type="dxa"/>
              <w:start w:w="120" w:type="dxa"/>
              <w:bottom w:w="80" w:type="dxa"/>
              <w:end w:w="120" w:type="dxa"/>
            </w:tcMar>
            <w:vAlign w:val="center"/>
          </w:tcPr>
          <w:p>
            <w:pPr>
              <w:pStyle w:val="TableText"/>
            </w:pPr>
            <w:r>
              <w:t>Reference immutable user IDs or a protected owner table; enforce last-owner protection transactionally.</w:t>
            </w:r>
          </w:p>
        </w:tc>
      </w:tr>
      <w:tr>
        <w:tc>
          <w:tcPr>
            <w:tcW w:type="dxa" w:w="650"/>
            <w:tcMar>
              <w:top w:w="80" w:type="dxa"/>
              <w:start w:w="120" w:type="dxa"/>
              <w:bottom w:w="80" w:type="dxa"/>
              <w:end w:w="120" w:type="dxa"/>
            </w:tcMar>
            <w:vAlign w:val="center"/>
          </w:tcPr>
          <w:p>
            <w:pPr>
              <w:pStyle w:val="TableText"/>
            </w:pPr>
            <w:r>
              <w:t>S-13</w:t>
            </w:r>
          </w:p>
        </w:tc>
        <w:tc>
          <w:tcPr>
            <w:tcW w:type="dxa" w:w="2740"/>
            <w:tcMar>
              <w:top w:w="80" w:type="dxa"/>
              <w:start w:w="120" w:type="dxa"/>
              <w:bottom w:w="80" w:type="dxa"/>
              <w:end w:w="120" w:type="dxa"/>
            </w:tcMar>
            <w:vAlign w:val="center"/>
          </w:tcPr>
          <w:p>
            <w:pPr>
              <w:pStyle w:val="TableText"/>
            </w:pPr>
            <w:r>
              <w:t>Database/auth errors are often returned with detailed messages.</w:t>
            </w:r>
          </w:p>
        </w:tc>
        <w:tc>
          <w:tcPr>
            <w:tcW w:type="dxa" w:w="2530"/>
            <w:tcMar>
              <w:top w:w="80" w:type="dxa"/>
              <w:start w:w="120" w:type="dxa"/>
              <w:bottom w:w="80" w:type="dxa"/>
              <w:end w:w="120" w:type="dxa"/>
            </w:tcMar>
            <w:vAlign w:val="center"/>
          </w:tcPr>
          <w:p>
            <w:pPr>
              <w:pStyle w:val="TableText"/>
            </w:pPr>
            <w:r>
              <w:t>Leaks implementation detail and produces inconsistent client behavior.</w:t>
            </w:r>
          </w:p>
        </w:tc>
        <w:tc>
          <w:tcPr>
            <w:tcW w:type="dxa" w:w="3440"/>
            <w:tcMar>
              <w:top w:w="80" w:type="dxa"/>
              <w:start w:w="120" w:type="dxa"/>
              <w:bottom w:w="80" w:type="dxa"/>
              <w:end w:w="120" w:type="dxa"/>
            </w:tcMar>
            <w:vAlign w:val="center"/>
          </w:tcPr>
          <w:p>
            <w:pPr>
              <w:pStyle w:val="TableText"/>
            </w:pPr>
            <w:r>
              <w:t>Return stable public error codes; retain details only in redacted structured logs with correlation IDs.</w:t>
            </w:r>
          </w:p>
        </w:tc>
      </w:tr>
      <w:tr>
        <w:tc>
          <w:tcPr>
            <w:tcW w:type="dxa" w:w="650"/>
            <w:tcMar>
              <w:top w:w="80" w:type="dxa"/>
              <w:start w:w="120" w:type="dxa"/>
              <w:bottom w:w="80" w:type="dxa"/>
              <w:end w:w="120" w:type="dxa"/>
            </w:tcMar>
            <w:vAlign w:val="center"/>
          </w:tcPr>
          <w:p>
            <w:pPr>
              <w:pStyle w:val="TableText"/>
            </w:pPr>
            <w:r>
              <w:t>S-14</w:t>
            </w:r>
          </w:p>
        </w:tc>
        <w:tc>
          <w:tcPr>
            <w:tcW w:type="dxa" w:w="2740"/>
            <w:tcMar>
              <w:top w:w="80" w:type="dxa"/>
              <w:start w:w="120" w:type="dxa"/>
              <w:bottom w:w="80" w:type="dxa"/>
              <w:end w:w="120" w:type="dxa"/>
            </w:tcMar>
            <w:vAlign w:val="center"/>
          </w:tcPr>
          <w:p>
            <w:pPr>
              <w:pStyle w:val="TableText"/>
            </w:pPr>
            <w:r>
              <w:t>Migration 0003 creates a public Supabase Storage bucket although current media uses R2.</w:t>
            </w:r>
          </w:p>
        </w:tc>
        <w:tc>
          <w:tcPr>
            <w:tcW w:type="dxa" w:w="2530"/>
            <w:tcMar>
              <w:top w:w="80" w:type="dxa"/>
              <w:start w:w="120" w:type="dxa"/>
              <w:bottom w:w="80" w:type="dxa"/>
              <w:end w:w="120" w:type="dxa"/>
            </w:tcMar>
            <w:vAlign w:val="center"/>
          </w:tcPr>
          <w:p>
            <w:pPr>
              <w:pStyle w:val="TableText"/>
            </w:pPr>
            <w:r>
              <w:t>Stale deployed storage can remain publicly accessible and confuses the data boundary.</w:t>
            </w:r>
          </w:p>
        </w:tc>
        <w:tc>
          <w:tcPr>
            <w:tcW w:type="dxa" w:w="3440"/>
            <w:tcMar>
              <w:top w:w="80" w:type="dxa"/>
              <w:start w:w="120" w:type="dxa"/>
              <w:bottom w:w="80" w:type="dxa"/>
              <w:end w:w="120" w:type="dxa"/>
            </w:tcMar>
            <w:vAlign w:val="center"/>
          </w:tcPr>
          <w:p>
            <w:pPr>
              <w:pStyle w:val="TableText"/>
            </w:pPr>
            <w:r>
              <w:t>Inventory the live bucket and objects; migrate/retire or make private; document the single supported media store.</w:t>
            </w:r>
          </w:p>
        </w:tc>
      </w:tr>
      <w:tr>
        <w:tc>
          <w:tcPr>
            <w:tcW w:type="dxa" w:w="650"/>
            <w:tcMar>
              <w:top w:w="80" w:type="dxa"/>
              <w:start w:w="120" w:type="dxa"/>
              <w:bottom w:w="80" w:type="dxa"/>
              <w:end w:w="120" w:type="dxa"/>
            </w:tcMar>
            <w:vAlign w:val="center"/>
          </w:tcPr>
          <w:p>
            <w:pPr>
              <w:pStyle w:val="TableText"/>
            </w:pPr>
            <w:r>
              <w:t>S-15</w:t>
            </w:r>
          </w:p>
        </w:tc>
        <w:tc>
          <w:tcPr>
            <w:tcW w:type="dxa" w:w="2740"/>
            <w:tcMar>
              <w:top w:w="80" w:type="dxa"/>
              <w:start w:w="120" w:type="dxa"/>
              <w:bottom w:w="80" w:type="dxa"/>
              <w:end w:w="120" w:type="dxa"/>
            </w:tcMar>
            <w:vAlign w:val="center"/>
          </w:tcPr>
          <w:p>
            <w:pPr>
              <w:pStyle w:val="TableText"/>
            </w:pPr>
            <w:r>
              <w:t>The local cases corpus is large and appears to include clinical/educational media; consent, de-identification, retention, and access controls are not documented in source.</w:t>
            </w:r>
          </w:p>
        </w:tc>
        <w:tc>
          <w:tcPr>
            <w:tcW w:type="dxa" w:w="2530"/>
            <w:tcMar>
              <w:top w:w="80" w:type="dxa"/>
              <w:start w:w="120" w:type="dxa"/>
              <w:bottom w:w="80" w:type="dxa"/>
              <w:end w:w="120" w:type="dxa"/>
            </w:tcMar>
            <w:vAlign w:val="center"/>
          </w:tcPr>
          <w:p>
            <w:pPr>
              <w:pStyle w:val="TableText"/>
            </w:pPr>
            <w:r>
              <w:t>Clinical imagery can carry privacy and reputational risk even when not formal PHI.</w:t>
            </w:r>
          </w:p>
        </w:tc>
        <w:tc>
          <w:tcPr>
            <w:tcW w:type="dxa" w:w="3440"/>
            <w:tcMar>
              <w:top w:w="80" w:type="dxa"/>
              <w:start w:w="120" w:type="dxa"/>
              <w:bottom w:w="80" w:type="dxa"/>
              <w:end w:w="120" w:type="dxa"/>
            </w:tcMar>
            <w:vAlign w:val="center"/>
          </w:tcPr>
          <w:p>
            <w:pPr>
              <w:pStyle w:val="TableText"/>
            </w:pPr>
            <w:r>
              <w:t>Establish dataset provenance, consent/license, de-identification review, retention, approved use, encryption, and access logging.</w:t>
            </w:r>
          </w:p>
        </w:tc>
      </w:tr>
      <w:tr>
        <w:tc>
          <w:tcPr>
            <w:tcW w:type="dxa" w:w="650"/>
            <w:tcMar>
              <w:top w:w="80" w:type="dxa"/>
              <w:start w:w="120" w:type="dxa"/>
              <w:bottom w:w="80" w:type="dxa"/>
              <w:end w:w="120" w:type="dxa"/>
            </w:tcMar>
            <w:vAlign w:val="center"/>
          </w:tcPr>
          <w:p>
            <w:pPr>
              <w:pStyle w:val="TableText"/>
            </w:pPr>
            <w:r>
              <w:t>S-16</w:t>
            </w:r>
          </w:p>
        </w:tc>
        <w:tc>
          <w:tcPr>
            <w:tcW w:type="dxa" w:w="2740"/>
            <w:tcMar>
              <w:top w:w="80" w:type="dxa"/>
              <w:start w:w="120" w:type="dxa"/>
              <w:bottom w:w="80" w:type="dxa"/>
              <w:end w:w="120" w:type="dxa"/>
            </w:tcMar>
            <w:vAlign w:val="center"/>
          </w:tcPr>
          <w:p>
            <w:pPr>
              <w:pStyle w:val="TableText"/>
            </w:pPr>
            <w:r>
              <w:t>Existing tests cover 16 rendered routes but not role escalation, RLS, admin ID tampering, upload attacks, headers, or protected media.</w:t>
            </w:r>
          </w:p>
        </w:tc>
        <w:tc>
          <w:tcPr>
            <w:tcW w:type="dxa" w:w="2530"/>
            <w:tcMar>
              <w:top w:w="80" w:type="dxa"/>
              <w:start w:w="120" w:type="dxa"/>
              <w:bottom w:w="80" w:type="dxa"/>
              <w:end w:w="120" w:type="dxa"/>
            </w:tcMar>
            <w:vAlign w:val="center"/>
          </w:tcPr>
          <w:p>
            <w:pPr>
              <w:pStyle w:val="TableText"/>
            </w:pPr>
            <w:r>
              <w:t>High-risk regressions can pass typecheck and route smoke tests.</w:t>
            </w:r>
          </w:p>
        </w:tc>
        <w:tc>
          <w:tcPr>
            <w:tcW w:type="dxa" w:w="3440"/>
            <w:tcMar>
              <w:top w:w="80" w:type="dxa"/>
              <w:start w:w="120" w:type="dxa"/>
              <w:bottom w:w="80" w:type="dxa"/>
              <w:end w:w="120" w:type="dxa"/>
            </w:tcMar>
            <w:vAlign w:val="center"/>
          </w:tcPr>
          <w:p>
            <w:pPr>
              <w:pStyle w:val="TableText"/>
            </w:pPr>
            <w:r>
              <w:t>Add security-focused integration and deployment tests and make them release gates.</w:t>
            </w:r>
          </w:p>
        </w:tc>
      </w:tr>
    </w:tbl>
    <w:p>
      <w:pPr>
        <w:spacing w:after="0"/>
      </w:pPr>
    </w:p>
    <w:p>
      <w:bookmarkStart w:id="27" w:name="section_27"/>
      <w:pPr>
        <w:pStyle w:val="Heading1"/>
      </w:pPr>
      <w:r>
        <w:t>Existing strengths to preserve</w:t>
      </w:r>
      <w:bookmarkEnd w:id="27"/>
    </w:p>
    <w:p>
      <w:pPr>
        <w:numPr>
          <w:ilvl w:val="0"/>
          <w:numId w:val="22"/>
        </w:numPr>
        <w:keepLines/>
        <w:spacing w:after="80"/>
      </w:pPr>
      <w:r>
        <w:t>The service-role client is isolated to server code and explicitly rejects use of a publishable key.</w:t>
      </w:r>
    </w:p>
    <w:p>
      <w:pPr>
        <w:numPr>
          <w:ilvl w:val="0"/>
          <w:numId w:val="22"/>
        </w:numPr>
        <w:keepLines/>
        <w:spacing w:after="80"/>
      </w:pPr>
      <w:r>
        <w:t>Bearer tokens are verified with Supabase auth.getUser before administrative role checks.</w:t>
      </w:r>
    </w:p>
    <w:p>
      <w:pPr>
        <w:numPr>
          <w:ilvl w:val="0"/>
          <w:numId w:val="22"/>
        </w:numPr>
        <w:keepLines/>
        <w:spacing w:after="80"/>
      </w:pPr>
      <w:r>
        <w:t>Administrative routes perform server-side role checks rather than relying only on hidden UI.</w:t>
      </w:r>
    </w:p>
    <w:p>
      <w:pPr>
        <w:numPr>
          <w:ilvl w:val="0"/>
          <w:numId w:val="22"/>
        </w:numPr>
        <w:keepLines/>
        <w:spacing w:after="80"/>
      </w:pPr>
      <w:r>
        <w:t>Rich HTML is sanitized with a restrictive sanitize-html configuration, controlled schemes, and noopener behavior.</w:t>
      </w:r>
    </w:p>
    <w:p>
      <w:pPr>
        <w:numPr>
          <w:ilvl w:val="0"/>
          <w:numId w:val="22"/>
        </w:numPr>
        <w:keepLines/>
        <w:spacing w:after="80"/>
      </w:pPr>
      <w:r>
        <w:t>The upload route already has authentication, a size limit, a content-type allowlist, and path slugification; these are good first-layer controls to retain.</w:t>
      </w:r>
    </w:p>
    <w:p>
      <w:pPr>
        <w:numPr>
          <w:ilvl w:val="0"/>
          <w:numId w:val="22"/>
        </w:numPr>
        <w:keepLines/>
        <w:spacing w:after="80"/>
      </w:pPr>
      <w:r>
        <w:t>Later migrations corrected row access for members-only library data and contributor relationships.</w:t>
      </w:r>
    </w:p>
    <w:p>
      <w:pPr>
        <w:numPr>
          <w:ilvl w:val="0"/>
          <w:numId w:val="22"/>
        </w:numPr>
        <w:keepLines/>
        <w:spacing w:after="80"/>
      </w:pPr>
      <w:r>
        <w:t>No current tracked service-role secret, private key, hardcoded API-key pattern, or bearer token was detected by the targeted scan; deployment archives were also checked for Supabase service-key/JWT literals.</w:t>
      </w:r>
    </w:p>
    <w:p>
      <w:pPr>
        <w:numPr>
          <w:ilvl w:val="0"/>
          <w:numId w:val="22"/>
        </w:numPr>
        <w:keepLines/>
        <w:spacing w:after="80"/>
      </w:pPr>
      <w:r>
        <w:t>TypeScript compilation passed and the existing route smoke suite passed 16/16 against the checked dist output.</w:t>
      </w:r>
    </w:p>
    <w:p>
      <w:bookmarkStart w:id="28" w:name="section_28"/>
      <w:pPr>
        <w:pStyle w:val="Heading1"/>
      </w:pPr>
      <w:r>
        <w:t>Remediation roadmap</w:t>
      </w:r>
      <w:bookmarkEnd w:id="28"/>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1550"/>
        <w:gridCol w:w="5010"/>
        <w:gridCol w:w="2800"/>
      </w:tblGrid>
      <w:tr>
        <w:trPr>
          <w:tblHeader w:val="true"/>
        </w:trPr>
        <w:tc>
          <w:tcPr>
            <w:tcW w:type="dxa" w:w="1550"/>
            <w:shd w:fill="0F5E5A"/>
            <w:tcMar>
              <w:top w:w="80" w:type="dxa"/>
              <w:start w:w="120" w:type="dxa"/>
              <w:bottom w:w="80" w:type="dxa"/>
              <w:end w:w="120" w:type="dxa"/>
            </w:tcMar>
            <w:vAlign w:val="center"/>
          </w:tcPr>
          <w:p>
            <w:pPr>
              <w:pStyle w:val="TableText"/>
            </w:pPr>
            <w:r>
              <w:rPr>
                <w:b/>
                <w:color w:val="FFFFFF"/>
              </w:rPr>
              <w:t>Window</w:t>
            </w:r>
          </w:p>
        </w:tc>
        <w:tc>
          <w:tcPr>
            <w:tcW w:type="dxa" w:w="5010"/>
            <w:shd w:fill="0F5E5A"/>
            <w:tcMar>
              <w:top w:w="80" w:type="dxa"/>
              <w:start w:w="120" w:type="dxa"/>
              <w:bottom w:w="80" w:type="dxa"/>
              <w:end w:w="120" w:type="dxa"/>
            </w:tcMar>
            <w:vAlign w:val="center"/>
          </w:tcPr>
          <w:p>
            <w:pPr>
              <w:pStyle w:val="TableText"/>
            </w:pPr>
            <w:r>
              <w:rPr>
                <w:b/>
                <w:color w:val="FFFFFF"/>
              </w:rPr>
              <w:t>Actions</w:t>
            </w:r>
          </w:p>
        </w:tc>
        <w:tc>
          <w:tcPr>
            <w:tcW w:type="dxa" w:w="2800"/>
            <w:shd w:fill="0F5E5A"/>
            <w:tcMar>
              <w:top w:w="80" w:type="dxa"/>
              <w:start w:w="120" w:type="dxa"/>
              <w:bottom w:w="80" w:type="dxa"/>
              <w:end w:w="120" w:type="dxa"/>
            </w:tcMar>
            <w:vAlign w:val="center"/>
          </w:tcPr>
          <w:p>
            <w:pPr>
              <w:pStyle w:val="TableText"/>
            </w:pPr>
            <w:r>
              <w:rPr>
                <w:b/>
                <w:color w:val="FFFFFF"/>
              </w:rPr>
              <w:t>Deliverable / owner</w:t>
            </w:r>
          </w:p>
        </w:tc>
      </w:tr>
      <w:tr>
        <w:tc>
          <w:tcPr>
            <w:tcW w:type="dxa" w:w="1550"/>
            <w:tcMar>
              <w:top w:w="80" w:type="dxa"/>
              <w:start w:w="120" w:type="dxa"/>
              <w:bottom w:w="80" w:type="dxa"/>
              <w:end w:w="120" w:type="dxa"/>
            </w:tcMar>
            <w:vAlign w:val="center"/>
          </w:tcPr>
          <w:p>
            <w:pPr>
              <w:pStyle w:val="TableText"/>
            </w:pPr>
            <w:r>
              <w:t>0-24 hours</w:t>
            </w:r>
          </w:p>
        </w:tc>
        <w:tc>
          <w:tcPr>
            <w:tcW w:type="dxa" w:w="5010"/>
            <w:tcMar>
              <w:top w:w="80" w:type="dxa"/>
              <w:start w:w="120" w:type="dxa"/>
              <w:bottom w:w="80" w:type="dxa"/>
              <w:end w:w="120" w:type="dxa"/>
            </w:tcMar>
            <w:vAlign w:val="center"/>
          </w:tcPr>
          <w:p>
            <w:pPr>
              <w:pStyle w:val="TableText"/>
            </w:pPr>
            <w:r>
              <w:t>Block role-column updates; audit privileged profiles and admin writes; verify email confirmation; preserve logs; determine whether incident response is required.</w:t>
            </w:r>
          </w:p>
        </w:tc>
        <w:tc>
          <w:tcPr>
            <w:tcW w:type="dxa" w:w="2800"/>
            <w:tcMar>
              <w:top w:w="80" w:type="dxa"/>
              <w:start w:w="120" w:type="dxa"/>
              <w:bottom w:w="80" w:type="dxa"/>
              <w:end w:w="120" w:type="dxa"/>
            </w:tcMar>
            <w:vAlign w:val="center"/>
          </w:tcPr>
          <w:p>
            <w:pPr>
              <w:pStyle w:val="TableText"/>
            </w:pPr>
            <w:r>
              <w:t>Emergency DB migration and signed incident triage note. Backend/DB + operations.</w:t>
            </w:r>
          </w:p>
        </w:tc>
      </w:tr>
      <w:tr>
        <w:tc>
          <w:tcPr>
            <w:tcW w:type="dxa" w:w="1550"/>
            <w:tcMar>
              <w:top w:w="80" w:type="dxa"/>
              <w:start w:w="120" w:type="dxa"/>
              <w:bottom w:w="80" w:type="dxa"/>
              <w:end w:w="120" w:type="dxa"/>
            </w:tcMar>
            <w:vAlign w:val="center"/>
          </w:tcPr>
          <w:p>
            <w:pPr>
              <w:pStyle w:val="TableText"/>
            </w:pPr>
            <w:r>
              <w:t>Within 7 days</w:t>
            </w:r>
          </w:p>
        </w:tc>
        <w:tc>
          <w:tcPr>
            <w:tcW w:type="dxa" w:w="5010"/>
            <w:tcMar>
              <w:top w:w="80" w:type="dxa"/>
              <w:start w:w="120" w:type="dxa"/>
              <w:bottom w:w="80" w:type="dxa"/>
              <w:end w:w="120" w:type="dxa"/>
            </w:tcMar>
            <w:vAlign w:val="center"/>
          </w:tcPr>
          <w:p>
            <w:pPr>
              <w:pStyle w:val="TableText"/>
            </w:pPr>
            <w:r>
              <w:t>Controlled framework/runtime upgrades; protect members-only media; narrow contributor actions; stop arbitrary storage paths.</w:t>
            </w:r>
          </w:p>
        </w:tc>
        <w:tc>
          <w:tcPr>
            <w:tcW w:type="dxa" w:w="2800"/>
            <w:tcMar>
              <w:top w:w="80" w:type="dxa"/>
              <w:start w:w="120" w:type="dxa"/>
              <w:bottom w:w="80" w:type="dxa"/>
              <w:end w:w="120" w:type="dxa"/>
            </w:tcMar>
            <w:vAlign w:val="center"/>
          </w:tcPr>
          <w:p>
            <w:pPr>
              <w:pStyle w:val="TableText"/>
            </w:pPr>
            <w:r>
              <w:t>Patched deployment with regression evidence. Platform + backend.</w:t>
            </w:r>
          </w:p>
        </w:tc>
      </w:tr>
      <w:tr>
        <w:tc>
          <w:tcPr>
            <w:tcW w:type="dxa" w:w="1550"/>
            <w:tcMar>
              <w:top w:w="80" w:type="dxa"/>
              <w:start w:w="120" w:type="dxa"/>
              <w:bottom w:w="80" w:type="dxa"/>
              <w:end w:w="120" w:type="dxa"/>
            </w:tcMar>
            <w:vAlign w:val="center"/>
          </w:tcPr>
          <w:p>
            <w:pPr>
              <w:pStyle w:val="TableText"/>
            </w:pPr>
            <w:r>
              <w:t>Within 30 days</w:t>
            </w:r>
          </w:p>
        </w:tc>
        <w:tc>
          <w:tcPr>
            <w:tcW w:type="dxa" w:w="5010"/>
            <w:tcMar>
              <w:top w:w="80" w:type="dxa"/>
              <w:start w:w="120" w:type="dxa"/>
              <w:bottom w:w="80" w:type="dxa"/>
              <w:end w:w="120" w:type="dxa"/>
            </w:tcMar>
            <w:vAlign w:val="center"/>
          </w:tcPr>
          <w:p>
            <w:pPr>
              <w:pStyle w:val="TableText"/>
            </w:pPr>
            <w:r>
              <w:t>Upload scanning/decoding; CSP/security headers; rate limits; AAL2 for staff; URL validation; trusted metadata origin.</w:t>
            </w:r>
          </w:p>
        </w:tc>
        <w:tc>
          <w:tcPr>
            <w:tcW w:type="dxa" w:w="2800"/>
            <w:tcMar>
              <w:top w:w="80" w:type="dxa"/>
              <w:start w:w="120" w:type="dxa"/>
              <w:bottom w:w="80" w:type="dxa"/>
              <w:end w:w="120" w:type="dxa"/>
            </w:tcMar>
            <w:vAlign w:val="center"/>
          </w:tcPr>
          <w:p>
            <w:pPr>
              <w:pStyle w:val="TableText"/>
            </w:pPr>
            <w:r>
              <w:t>Hardening release and deployment configuration record.</w:t>
            </w:r>
          </w:p>
        </w:tc>
      </w:tr>
      <w:tr>
        <w:tc>
          <w:tcPr>
            <w:tcW w:type="dxa" w:w="1550"/>
            <w:tcMar>
              <w:top w:w="80" w:type="dxa"/>
              <w:start w:w="120" w:type="dxa"/>
              <w:bottom w:w="80" w:type="dxa"/>
              <w:end w:w="120" w:type="dxa"/>
            </w:tcMar>
            <w:vAlign w:val="center"/>
          </w:tcPr>
          <w:p>
            <w:pPr>
              <w:pStyle w:val="TableText"/>
            </w:pPr>
            <w:r>
              <w:t>30-60 days</w:t>
            </w:r>
          </w:p>
        </w:tc>
        <w:tc>
          <w:tcPr>
            <w:tcW w:type="dxa" w:w="5010"/>
            <w:tcMar>
              <w:top w:w="80" w:type="dxa"/>
              <w:start w:w="120" w:type="dxa"/>
              <w:bottom w:w="80" w:type="dxa"/>
              <w:end w:w="120" w:type="dxa"/>
            </w:tcMar>
            <w:vAlign w:val="center"/>
          </w:tcPr>
          <w:p>
            <w:pPr>
              <w:pStyle w:val="TableText"/>
            </w:pPr>
            <w:r>
              <w:t>Audit log, transactional mutations, soft delete, security test matrix, bucket retirement, data-governance policy.</w:t>
            </w:r>
          </w:p>
        </w:tc>
        <w:tc>
          <w:tcPr>
            <w:tcW w:type="dxa" w:w="2800"/>
            <w:tcMar>
              <w:top w:w="80" w:type="dxa"/>
              <w:start w:w="120" w:type="dxa"/>
              <w:bottom w:w="80" w:type="dxa"/>
              <w:end w:w="120" w:type="dxa"/>
            </w:tcMar>
            <w:vAlign w:val="center"/>
          </w:tcPr>
          <w:p>
            <w:pPr>
              <w:pStyle w:val="TableText"/>
            </w:pPr>
            <w:r>
              <w:t>Operational security baseline and release gates.</w:t>
            </w:r>
          </w:p>
        </w:tc>
      </w:tr>
      <w:tr>
        <w:tc>
          <w:tcPr>
            <w:tcW w:type="dxa" w:w="1550"/>
            <w:tcMar>
              <w:top w:w="80" w:type="dxa"/>
              <w:start w:w="120" w:type="dxa"/>
              <w:bottom w:w="80" w:type="dxa"/>
              <w:end w:w="120" w:type="dxa"/>
            </w:tcMar>
            <w:vAlign w:val="center"/>
          </w:tcPr>
          <w:p>
            <w:pPr>
              <w:pStyle w:val="TableText"/>
            </w:pPr>
            <w:r>
              <w:t>Quarterly</w:t>
            </w:r>
          </w:p>
        </w:tc>
        <w:tc>
          <w:tcPr>
            <w:tcW w:type="dxa" w:w="5010"/>
            <w:tcMar>
              <w:top w:w="80" w:type="dxa"/>
              <w:start w:w="120" w:type="dxa"/>
              <w:bottom w:w="80" w:type="dxa"/>
              <w:end w:w="120" w:type="dxa"/>
            </w:tcMar>
            <w:vAlign w:val="center"/>
          </w:tcPr>
          <w:p>
            <w:pPr>
              <w:pStyle w:val="TableText"/>
            </w:pPr>
            <w:r>
              <w:t>Dependency and access review; WAF tuning; incident exercise; restore test; privileged-role recertification; data-retention review.</w:t>
            </w:r>
          </w:p>
        </w:tc>
        <w:tc>
          <w:tcPr>
            <w:tcW w:type="dxa" w:w="2800"/>
            <w:tcMar>
              <w:top w:w="80" w:type="dxa"/>
              <w:start w:w="120" w:type="dxa"/>
              <w:bottom w:w="80" w:type="dxa"/>
              <w:end w:w="120" w:type="dxa"/>
            </w:tcMar>
            <w:vAlign w:val="center"/>
          </w:tcPr>
          <w:p>
            <w:pPr>
              <w:pStyle w:val="TableText"/>
            </w:pPr>
            <w:r>
              <w:t>Recurring assurance calendar with named accountable owners.</w:t>
            </w:r>
          </w:p>
        </w:tc>
      </w:tr>
    </w:tbl>
    <w:p>
      <w:pPr>
        <w:spacing w:after="0"/>
      </w:pPr>
    </w:p>
    <w:p>
      <w:bookmarkStart w:id="29" w:name="section_29"/>
      <w:pPr>
        <w:pStyle w:val="Heading1"/>
      </w:pPr>
      <w:r>
        <w:t>Emergency role-remediation sequence</w:t>
      </w:r>
      <w:bookmarkEnd w:id="29"/>
    </w:p>
    <w:p>
      <w:pPr>
        <w:numPr>
          <w:ilvl w:val="0"/>
          <w:numId w:val="23"/>
        </w:numPr>
        <w:keepLines/>
        <w:spacing w:after="80"/>
      </w:pPr>
      <w:r>
        <w:t>Export the current privileged-role list, profile update timestamps, authentication events, and administrative write logs to a protected evidence location.</w:t>
      </w:r>
    </w:p>
    <w:p>
      <w:pPr>
        <w:numPr>
          <w:ilvl w:val="0"/>
          <w:numId w:val="23"/>
        </w:numPr>
        <w:keepLines/>
        <w:spacing w:after="80"/>
      </w:pPr>
      <w:r>
        <w:t>Deploy a transaction-safe migration that revokes broad profile UPDATE and grants only approved user-editable columns. Validate direct REST denial before reopening writes.</w:t>
      </w:r>
    </w:p>
    <w:p>
      <w:pPr>
        <w:numPr>
          <w:ilvl w:val="0"/>
          <w:numId w:val="23"/>
        </w:numPr>
        <w:keepLines/>
        <w:spacing w:after="80"/>
      </w:pPr>
      <w:r>
        <w:t>Move roles to a private authorization table or complete the separate-table design immediately after the emergency block.</w:t>
      </w:r>
    </w:p>
    <w:p>
      <w:pPr>
        <w:numPr>
          <w:ilvl w:val="0"/>
          <w:numId w:val="23"/>
        </w:numPr>
        <w:keepLines/>
        <w:spacing w:after="80"/>
      </w:pPr>
      <w:r>
        <w:t>Review all privileged accounts and suspicious content/media changes. Restore unauthorized changes from known-good data where needed.</w:t>
      </w:r>
    </w:p>
    <w:p>
      <w:pPr>
        <w:numPr>
          <w:ilvl w:val="0"/>
          <w:numId w:val="23"/>
        </w:numPr>
        <w:keepLines/>
        <w:spacing w:after="80"/>
      </w:pPr>
      <w:r>
        <w:t>Invalidate suspicious sessions, rotate affected credentials, and follow the incident-response process if exploitation cannot be ruled out.</w:t>
      </w:r>
    </w:p>
    <w:p>
      <w:pPr>
        <w:numPr>
          <w:ilvl w:val="0"/>
          <w:numId w:val="23"/>
        </w:numPr>
        <w:keepLines/>
        <w:spacing w:after="80"/>
      </w:pPr>
      <w:r>
        <w:t>Add a permanent self-promotion regression test and a database privilege assertion to CI.</w:t>
      </w:r>
    </w:p>
    <w:p>
      <w:bookmarkStart w:id="30" w:name="section_30"/>
      <w:pPr>
        <w:pStyle w:val="Heading1"/>
      </w:pPr>
      <w:r>
        <w:t>Security verification checklist</w:t>
      </w:r>
      <w:bookmarkEnd w:id="30"/>
    </w:p>
    <w:p>
      <w:pPr>
        <w:numPr>
          <w:ilvl w:val="0"/>
          <w:numId w:val="24"/>
        </w:numPr>
        <w:keepLines/>
        <w:spacing w:after="80"/>
      </w:pPr>
      <w:r>
        <w:t>Database privileges: authenticated cannot update role-bearing columns; anonymous cannot write profiles; owner role management is server-only and audited.</w:t>
      </w:r>
    </w:p>
    <w:p>
      <w:pPr>
        <w:numPr>
          <w:ilvl w:val="0"/>
          <w:numId w:val="24"/>
        </w:numPr>
        <w:keepLines/>
        <w:spacing w:after="80"/>
      </w:pPr>
      <w:r>
        <w:t>Authorization matrix: anonymous, member, contributor, editor, and owner are tested for list/read/create/update/delete across each resource and ownership state.</w:t>
      </w:r>
    </w:p>
    <w:p>
      <w:pPr>
        <w:numPr>
          <w:ilvl w:val="0"/>
          <w:numId w:val="24"/>
        </w:numPr>
        <w:keepLines/>
        <w:spacing w:after="80"/>
      </w:pPr>
      <w:r>
        <w:t>Object access: public and protected R2 objects are tested by anonymous, entitled, unentitled, revoked, and expired-token callers.</w:t>
      </w:r>
    </w:p>
    <w:p>
      <w:pPr>
        <w:numPr>
          <w:ilvl w:val="0"/>
          <w:numId w:val="24"/>
        </w:numPr>
        <w:keepLines/>
        <w:spacing w:after="80"/>
      </w:pPr>
      <w:r>
        <w:t>Upload corpus: signature mismatch, malformed image, active PDF, oversized file, path manipulation, and duplicate/replay cases are covered.</w:t>
      </w:r>
    </w:p>
    <w:p>
      <w:pPr>
        <w:numPr>
          <w:ilvl w:val="0"/>
          <w:numId w:val="24"/>
        </w:numPr>
        <w:keepLines/>
        <w:spacing w:after="80"/>
      </w:pPr>
      <w:r>
        <w:t>Browser policy: CSP report-only telemetry is clean before enforcement; framing, MIME sniffing, mixed content, referrer policy, HSTS, and permissions policy are verified at the edge.</w:t>
      </w:r>
    </w:p>
    <w:p>
      <w:pPr>
        <w:numPr>
          <w:ilvl w:val="0"/>
          <w:numId w:val="24"/>
        </w:numPr>
        <w:keepLines/>
        <w:spacing w:after="80"/>
      </w:pPr>
      <w:r>
        <w:t>Abuse controls: rate-limit thresholds, cache-key normalization, retry behavior, 404 caching, alerts, and false-positive recovery are tested.</w:t>
      </w:r>
    </w:p>
    <w:p>
      <w:pPr>
        <w:numPr>
          <w:ilvl w:val="0"/>
          <w:numId w:val="24"/>
        </w:numPr>
        <w:keepLines/>
        <w:spacing w:after="80"/>
      </w:pPr>
      <w:r>
        <w:t>Supply chain: clean install/build/test/preview succeeds; high/critical advisories are zero or have time-bounded accepted exceptions.</w:t>
      </w:r>
    </w:p>
    <w:p>
      <w:pPr>
        <w:numPr>
          <w:ilvl w:val="0"/>
          <w:numId w:val="24"/>
        </w:numPr>
        <w:keepLines/>
        <w:spacing w:after="80"/>
      </w:pPr>
      <w:r>
        <w:t>Account security: staff requires verified email and AAL2; recovery, device/session revocation, and break-glass workflows are exercised.</w:t>
      </w:r>
    </w:p>
    <w:p>
      <w:pPr>
        <w:numPr>
          <w:ilvl w:val="0"/>
          <w:numId w:val="24"/>
        </w:numPr>
        <w:keepLines/>
        <w:spacing w:after="80"/>
      </w:pPr>
      <w:r>
        <w:t>Logging: security events have actor, action, target, result, time, IP/device context where lawful, and correlation ID; secrets and sensitive clinical data are redacted.</w:t>
      </w:r>
    </w:p>
    <w:p>
      <w:bookmarkStart w:id="31" w:name="section_31"/>
      <w:pPr>
        <w:pStyle w:val="Heading1"/>
      </w:pPr>
      <w:r>
        <w:t>Evidence and authoritative references</w:t>
      </w:r>
      <w:bookmarkEnd w:id="31"/>
    </w:p>
    <w:p>
      <w:r>
        <w:t>Repository evidence is listed in each finding. External references below were consulted for current platform behavior and advisory status on the review date.</w:t>
      </w:r>
    </w:p>
    <w:p>
      <w:pPr>
        <w:spacing w:after="60"/>
      </w:pPr>
      <w:r>
        <w:rPr>
          <w:b/>
        </w:rPr>
        <w:t xml:space="preserve">Supabase column-level security: </w:t>
      </w:r>
      <w:hyperlink r:id="rId13">
        <w:r>
          <w:rPr>
            <w:color w:val="0F5E5A"/>
            <w:u w:val="single"/>
          </w:rPr>
          <w:t>https://supabase.com/docs/guides/database/postgres/column-level-security</w:t>
        </w:r>
      </w:hyperlink>
    </w:p>
    <w:p>
      <w:pPr>
        <w:spacing w:after="60"/>
      </w:pPr>
      <w:r>
        <w:rPr>
          <w:b/>
        </w:rPr>
        <w:t xml:space="preserve">Supabase user-data security: </w:t>
      </w:r>
      <w:hyperlink r:id="rId14">
        <w:r>
          <w:rPr>
            <w:color w:val="0F5E5A"/>
            <w:u w:val="single"/>
          </w:rPr>
          <w:t>https://supabase.com/docs/guides/auth/managing-user-data</w:t>
        </w:r>
      </w:hyperlink>
    </w:p>
    <w:p>
      <w:pPr>
        <w:spacing w:after="60"/>
      </w:pPr>
      <w:r>
        <w:rPr>
          <w:b/>
        </w:rPr>
        <w:t xml:space="preserve">Supabase authentication rate limits: </w:t>
      </w:r>
      <w:hyperlink r:id="rId15">
        <w:r>
          <w:rPr>
            <w:color w:val="0F5E5A"/>
            <w:u w:val="single"/>
          </w:rPr>
          <w:t>https://supabase.com/docs/guides/auth/rate-limits</w:t>
        </w:r>
      </w:hyperlink>
    </w:p>
    <w:p>
      <w:pPr>
        <w:spacing w:after="60"/>
      </w:pPr>
      <w:r>
        <w:rPr>
          <w:b/>
        </w:rPr>
        <w:t xml:space="preserve">Supabase MFA: </w:t>
      </w:r>
      <w:hyperlink r:id="rId16">
        <w:r>
          <w:rPr>
            <w:color w:val="0F5E5A"/>
            <w:u w:val="single"/>
          </w:rPr>
          <w:t>https://supabase.com/docs/guides/auth/auth-mfa</w:t>
        </w:r>
      </w:hyperlink>
    </w:p>
    <w:p>
      <w:pPr>
        <w:spacing w:after="60"/>
      </w:pPr>
      <w:r>
        <w:rPr>
          <w:b/>
        </w:rPr>
        <w:t xml:space="preserve">Cloudflare rate-limiting rules: </w:t>
      </w:r>
      <w:hyperlink r:id="rId17">
        <w:r>
          <w:rPr>
            <w:color w:val="0F5E5A"/>
            <w:u w:val="single"/>
          </w:rPr>
          <w:t>https://developers.cloudflare.com/waf/rate-limiting-rules/</w:t>
        </w:r>
      </w:hyperlink>
    </w:p>
    <w:p>
      <w:pPr>
        <w:spacing w:after="60"/>
      </w:pPr>
      <w:r>
        <w:rPr>
          <w:b/>
        </w:rPr>
        <w:t xml:space="preserve">Cloudflare R2 presigned URLs: </w:t>
      </w:r>
      <w:hyperlink r:id="rId18">
        <w:r>
          <w:rPr>
            <w:color w:val="0F5E5A"/>
            <w:u w:val="single"/>
          </w:rPr>
          <w:t>https://developers.cloudflare.com/r2/api/s3/presigned-urls/</w:t>
        </w:r>
      </w:hyperlink>
    </w:p>
    <w:p>
      <w:pPr>
        <w:spacing w:after="60"/>
      </w:pPr>
      <w:r>
        <w:rPr>
          <w:b/>
        </w:rPr>
        <w:t xml:space="preserve">Next.js response headers: </w:t>
      </w:r>
      <w:hyperlink r:id="rId19">
        <w:r>
          <w:rPr>
            <w:color w:val="0F5E5A"/>
            <w:u w:val="single"/>
          </w:rPr>
          <w:t>https://nextjs.org/docs/app/api-reference/config/next-config-js/headers</w:t>
        </w:r>
      </w:hyperlink>
    </w:p>
    <w:p>
      <w:pPr>
        <w:spacing w:after="60"/>
      </w:pPr>
      <w:r>
        <w:rPr>
          <w:b/>
        </w:rPr>
        <w:t xml:space="preserve">Next.js content security policy: </w:t>
      </w:r>
      <w:hyperlink r:id="rId20">
        <w:r>
          <w:rPr>
            <w:color w:val="0F5E5A"/>
            <w:u w:val="single"/>
          </w:rPr>
          <w:t>https://nextjs.org/docs/app/guides/content-security-policy</w:t>
        </w:r>
      </w:hyperlink>
    </w:p>
    <w:p>
      <w:pPr>
        <w:spacing w:after="60"/>
      </w:pPr>
      <w:r>
        <w:rPr>
          <w:b/>
        </w:rPr>
        <w:t xml:space="preserve">OWASP file upload cheat sheet: </w:t>
      </w:r>
      <w:hyperlink r:id="rId21">
        <w:r>
          <w:rPr>
            <w:color w:val="0F5E5A"/>
            <w:u w:val="single"/>
          </w:rPr>
          <w:t>https://cheatsheetseries.owasp.org/cheatsheets/File_Upload_Cheat_Sheet.html</w:t>
        </w:r>
      </w:hyperlink>
    </w:p>
    <w:p>
      <w:pPr>
        <w:spacing w:after="60"/>
      </w:pPr>
      <w:r>
        <w:rPr>
          <w:b/>
        </w:rPr>
        <w:t xml:space="preserve">Next.js proxy authorization bypass advisory: </w:t>
      </w:r>
      <w:hyperlink r:id="rId22">
        <w:r>
          <w:rPr>
            <w:color w:val="0F5E5A"/>
            <w:u w:val="single"/>
          </w:rPr>
          <w:t>https://github.com/advisories/GHSA-6gpp-xcg3-4w24</w:t>
        </w:r>
      </w:hyperlink>
    </w:p>
    <w:p>
      <w:pPr>
        <w:spacing w:after="60"/>
      </w:pPr>
      <w:r>
        <w:rPr>
          <w:b/>
        </w:rPr>
        <w:t xml:space="preserve">Next.js denial-of-service advisory: </w:t>
      </w:r>
      <w:hyperlink r:id="rId23">
        <w:r>
          <w:rPr>
            <w:color w:val="0F5E5A"/>
            <w:u w:val="single"/>
          </w:rPr>
          <w:t>https://github.com/advisories/GHSA-m99w-x7hq-7vfj</w:t>
        </w:r>
      </w:hyperlink>
    </w:p>
    <w:p>
      <w:pPr>
        <w:spacing w:after="60"/>
      </w:pPr>
      <w:r>
        <w:rPr>
          <w:b/>
        </w:rPr>
        <w:t xml:space="preserve">React Server Components denial-of-service advisory: </w:t>
      </w:r>
      <w:hyperlink r:id="rId24">
        <w:r>
          <w:rPr>
            <w:color w:val="0F5E5A"/>
            <w:u w:val="single"/>
          </w:rPr>
          <w:t>https://github.com/advisories/GHSA-wx67-qw84-cm4g</w:t>
        </w:r>
      </w:hyperlink>
    </w:p>
    <w:p>
      <w:pPr>
        <w:spacing w:after="60"/>
      </w:pPr>
      <w:r>
        <w:rPr>
          <w:b/>
        </w:rPr>
        <w:t xml:space="preserve">Vite Windows fs.deny bypass advisory: </w:t>
      </w:r>
      <w:hyperlink r:id="rId25">
        <w:r>
          <w:rPr>
            <w:color w:val="0F5E5A"/>
            <w:u w:val="single"/>
          </w:rPr>
          <w:t>https://github.com/advisories/GHSA-fx2h-pf6j-xcff</w:t>
        </w:r>
      </w:hyperlink>
    </w:p>
    <w:p>
      <w:pPr>
        <w:pStyle w:val="SmallNote"/>
      </w:pPr>
      <w:r>
        <w:t>This is an engineering security assessment, not a compliance certification or legal opinion. The critical authorization finding should be treated as actionable regardless of whether exploitation is currently known.</w:t>
      </w:r>
    </w:p>
    <w:sectPr w:rsidR="00FC693F" w:rsidRPr="0006063C" w:rsidSect="00034616">
      <w:headerReference w:type="default" r:id="rId9"/>
      <w:headerReference w:type="even" r:id="rId10"/>
      <w:footerReference w:type="default" r:id="rId11"/>
      <w:footerReference w:type="even" r:id="rId12"/>
      <w:pgSz w:w="12240" w:h="15840"/>
      <w:pgMar w:top="1181" w:right="1325" w:bottom="1080" w:left="132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D72"/>
        <w:sz w:val="15"/>
      </w:rPr>
      <w:t xml:space="preserve">Internal handoff  |  </w:t>
    </w:r>
    <w:r>
      <w:rPr>
        <w:color w:val="5E6D72"/>
        <w:sz w:val="15"/>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D72"/>
        <w:sz w:val="15"/>
      </w:rPr>
      <w:t xml:space="preserve">Internal handoff  |  </w:t>
    </w:r>
    <w:r>
      <w:rPr>
        <w:color w:val="5E6D72"/>
        <w:sz w:val="15"/>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D72"/>
        <w:sz w:val="15"/>
      </w:rPr>
      <w:t>SMART SURGICAL TEAM  |  SECURITY / 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D72"/>
        <w:sz w:val="15"/>
      </w:rPr>
      <w:t>SMART SURGICAL TEAM  |  SECURITY /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pPr>
        <w:tabs>
          <w:tab w:val="num" w:pos="720"/>
        </w:tabs>
        <w:ind w:left="720" w:hanging="360"/>
      </w:pPr>
    </w:lvl>
  </w:abstractNum>
  <w:abstractNum w:abstractNumId="10">
    <w:multiLevelType w:val="singleLevel"/>
    <w:lvl w:ilvl="0">
      <w:start w:val="1"/>
      <w:numFmt w:val="decimal"/>
      <w:lvlText w:val="%1."/>
      <w:suff w:val="space"/>
      <w:pPr>
        <w:tabs>
          <w:tab w:val="num" w:pos="720"/>
        </w:tabs>
        <w:ind w:left="720" w:hanging="360"/>
      </w:pPr>
    </w:lvl>
  </w:abstractNum>
  <w:num w:numId="10">
    <w:abstractNumId w:val="10"/>
    <w:lvlOverride w:ilvl="0">
      <w:startOverride w:val="1"/>
    </w:lvlOverride>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10"/>
    <w:lvlOverride w:ilvl="0">
      <w:startOverride w:val="1"/>
    </w:lvlOverride>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24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F5E5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23F3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B56A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23F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E6D72"/>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pPr>
      <w:spacing w:after="80" w:line="252" w:lineRule="auto"/>
      <w:ind w:left="259" w:right="72"/>
    </w:pPr>
    <w:rPr>
      <w:rFonts w:ascii="Consolas" w:hAnsi="Consolas"/>
      <w:color w:val="5E6D72"/>
      <w:sz w:val="17"/>
    </w:rPr>
  </w:style>
  <w:style w:type="paragraph" w:customStyle="1" w:styleId="TableText">
    <w:name w:val="Table Text"/>
    <w:pPr>
      <w:spacing w:after="40" w:line="252" w:lineRule="auto"/>
    </w:pPr>
    <w:rPr>
      <w:rFonts w:ascii="Calibri" w:hAnsi="Calibri"/>
      <w:color w:val="243238"/>
      <w:sz w:val="17"/>
    </w:rPr>
  </w:style>
  <w:style w:type="paragraph" w:customStyle="1" w:styleId="SmallNote">
    <w:name w:val="Small Note"/>
    <w:pPr>
      <w:spacing w:after="80"/>
    </w:pPr>
    <w:rPr>
      <w:rFonts w:ascii="Calibri" w:hAnsi="Calibri"/>
      <w:i/>
      <w:color w:val="5E6D7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supabase.com/docs/guides/database/postgres/column-level-security" TargetMode="External"/><Relationship Id="rId14" Type="http://schemas.openxmlformats.org/officeDocument/2006/relationships/hyperlink" Target="https://supabase.com/docs/guides/auth/managing-user-data" TargetMode="External"/><Relationship Id="rId15" Type="http://schemas.openxmlformats.org/officeDocument/2006/relationships/hyperlink" Target="https://supabase.com/docs/guides/auth/rate-limits" TargetMode="External"/><Relationship Id="rId16" Type="http://schemas.openxmlformats.org/officeDocument/2006/relationships/hyperlink" Target="https://supabase.com/docs/guides/auth/auth-mfa" TargetMode="External"/><Relationship Id="rId17" Type="http://schemas.openxmlformats.org/officeDocument/2006/relationships/hyperlink" Target="https://developers.cloudflare.com/waf/rate-limiting-rules/" TargetMode="External"/><Relationship Id="rId18" Type="http://schemas.openxmlformats.org/officeDocument/2006/relationships/hyperlink" Target="https://developers.cloudflare.com/r2/api/s3/presigned-urls/" TargetMode="External"/><Relationship Id="rId19" Type="http://schemas.openxmlformats.org/officeDocument/2006/relationships/hyperlink" Target="https://nextjs.org/docs/app/api-reference/config/next-config-js/headers" TargetMode="External"/><Relationship Id="rId20" Type="http://schemas.openxmlformats.org/officeDocument/2006/relationships/hyperlink" Target="https://nextjs.org/docs/app/guides/content-security-policy" TargetMode="External"/><Relationship Id="rId21" Type="http://schemas.openxmlformats.org/officeDocument/2006/relationships/hyperlink" Target="https://cheatsheetseries.owasp.org/cheatsheets/File_Upload_Cheat_Sheet.html" TargetMode="External"/><Relationship Id="rId22" Type="http://schemas.openxmlformats.org/officeDocument/2006/relationships/hyperlink" Target="https://github.com/advisories/GHSA-6gpp-xcg3-4w24" TargetMode="External"/><Relationship Id="rId23" Type="http://schemas.openxmlformats.org/officeDocument/2006/relationships/hyperlink" Target="https://github.com/advisories/GHSA-m99w-x7hq-7vfj" TargetMode="External"/><Relationship Id="rId24" Type="http://schemas.openxmlformats.org/officeDocument/2006/relationships/hyperlink" Target="https://github.com/advisories/GHSA-wx67-qw84-cm4g" TargetMode="External"/><Relationship Id="rId25" Type="http://schemas.openxmlformats.org/officeDocument/2006/relationships/hyperlink" Target="https://github.com/advisories/GHSA-fx2h-pf6j-xcf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Audit Handoff</dc:title>
  <dc:subject>Authorization, data protection, application security, dependencies, and remediation plan</dc:subject>
  <dc:creator>Codex audit handoff</dc:creator>
  <cp:keywords>security, code review, handoff, Smart Surgical Team</cp:keywords>
  <dc:description>generated by python-docx</dc:description>
  <cp:lastModifiedBy/>
  <cp:revision>1</cp:revision>
  <dcterms:created xsi:type="dcterms:W3CDTF">2013-12-23T23:15:00Z</dcterms:created>
  <dcterms:modified xsi:type="dcterms:W3CDTF">2013-12-23T23:15:00Z</dcterms:modified>
  <cp:category/>
</cp:coreProperties>
</file>