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sz w:val="36"/>
          <w:szCs w:val="36"/>
        </w:rPr>
        <w:t xml:space="preserve">Predicting 30-Day Hospital Readmissions for Diabetes Patients</w:t>
      </w:r>
    </w:p>
    <w:p>
      <w:pPr>
        <w:spacing w:before="240" w:after="240"/>
        <w:jc w:val="center"/>
      </w:pPr>
      <w:r>
        <w:rPr>
          <w:sz w:val="28"/>
          <w:szCs w:val="28"/>
        </w:rPr>
        <w:t xml:space="preserve">Machine Learning Analysis Using UCI Diabetes Dataset</w:t>
      </w:r>
    </w:p>
    <w:p>
      <w:pPr>
        <w:spacing w:before="480"/>
        <w:jc w:val="center"/>
      </w:pPr>
      <w:r>
        <w:rPr>
          <w:sz w:val="24"/>
          <w:szCs w:val="24"/>
        </w:rPr>
        <w:t xml:space="preserve">MSDS 422: Practical Machine Learning</w:t>
      </w:r>
    </w:p>
    <w:p>
      <w:pPr>
        <w:jc w:val="center"/>
      </w:pPr>
      <w:r>
        <w:rPr>
          <w:sz w:val="24"/>
          <w:szCs w:val="24"/>
        </w:rPr>
        <w:t xml:space="preserve">Milestone 2: Project Proposal</w:t>
      </w:r>
    </w:p>
    <w:p>
      <w:pPr>
        <w:spacing w:before="480"/>
        <w:jc w:val="center"/>
      </w:pPr>
      <w:r>
        <w:rPr>
          <w:b/>
          <w:bCs/>
          <w:sz w:val="24"/>
          <w:szCs w:val="24"/>
        </w:rPr>
        <w:t xml:space="preserve">Team Members:</w:t>
      </w:r>
    </w:p>
    <w:p>
      <w:pPr>
        <w:jc w:val="center"/>
      </w:pPr>
      <w:r>
        <w:rPr>
          <w:sz w:val="24"/>
          <w:szCs w:val="24"/>
        </w:rPr>
        <w:t xml:space="preserve">Abdullah Abdul Sami</w:t>
      </w:r>
    </w:p>
    <w:p>
      <w:pPr>
        <w:jc w:val="center"/>
      </w:pPr>
      <w:r>
        <w:rPr>
          <w:sz w:val="24"/>
          <w:szCs w:val="24"/>
        </w:rPr>
        <w:t xml:space="preserve">Feifan Liu</w:t>
      </w:r>
    </w:p>
    <w:p>
      <w:pPr>
        <w:jc w:val="center"/>
      </w:pPr>
      <w:r>
        <w:rPr>
          <w:sz w:val="24"/>
          <w:szCs w:val="24"/>
        </w:rPr>
        <w:t xml:space="preserve">Jiahao Li</w:t>
      </w:r>
    </w:p>
    <w:p>
      <w:pPr>
        <w:spacing w:before="960"/>
        <w:jc w:val="center"/>
      </w:pPr>
      <w:r>
        <w:rPr>
          <w:sz w:val="24"/>
          <w:szCs w:val="24"/>
        </w:rPr>
        <w:t xml:space="preserve">February 8, 2026</w:t>
      </w:r>
    </w:p>
    <w:p>
      <w:r>
        <w:br w:type="page"/>
      </w:r>
    </w:p>
    <w:p>
      <w:pPr>
        <w:pStyle w:val="Heading1"/>
      </w:pPr>
      <w:r>
        <w:t xml:space="preserve">Executive Summary</w:t>
      </w:r>
    </w:p>
    <w:p>
      <w:pPr>
        <w:spacing w:after="240"/>
      </w:pPr>
      <w:r>
        <w:t xml:space="preserve">Hospital readmissions within 30 days of discharge represent a significant challenge in healthcare, costing the US healthcare system billions annually and resulting in penalties for hospitals under the Centers for Medicare &amp; Medicaid Services (CMS) Hospital Readmissions Reduction Program. For diabetes patients specifically, readmission rates range from 9-14%, with many readmissions being preventable through improved care coordination and early intervention.</w:t>
      </w:r>
    </w:p>
    <w:p>
      <w:pPr>
        <w:spacing w:after="240"/>
      </w:pPr>
      <w:r>
        <w:t xml:space="preserve">This project develops a machine learning pipeline to predict 30-day readmission risk for diabetes patients using the UCI Diabetes 130-US Hospitals dataset (101,766 inpatient encounters across 130 hospitals from 1999-2008). We will compare four modeling approaches: Logistic Regression (interpretable baseline), Random Forest (ensemble method), XGBoost (expected best performer based on literature), and Deep Neural Networks (complex pattern detection). Our target is to achieve AUROC ≥0.75, which would enable accurate risk stratification for clinical deployment.</w:t>
      </w:r>
    </w:p>
    <w:p>
      <w:pPr>
        <w:spacing w:after="240"/>
      </w:pPr>
      <w:r>
        <w:t xml:space="preserve">The project emphasizes clinical interpretability through SHAP values, LIME explanations, and Partial Dependence Plots to identify the top 10 risk factors driving readmission predictions. We address the 7.2:1 class imbalance using SMOTE oversampling, class weights, and threshold tuning. Our proposed deployment strategy integrates real-time prediction at discharge with workflow-embedded interventions for high-risk patients, including extended counseling, medication reconciliation, and 72-hour follow-up calls.</w:t>
      </w:r>
    </w:p>
    <w:p>
      <w:pPr>
        <w:pStyle w:val="Heading1"/>
      </w:pPr>
      <w:r>
        <w:t xml:space="preserve">Problem Statement</w:t>
      </w:r>
    </w:p>
    <w:p>
      <w:pPr>
        <w:pStyle w:val="Heading2"/>
      </w:pPr>
      <w:r>
        <w:t xml:space="preserve">Business Impact</w:t>
      </w:r>
    </w:p>
    <w:p>
      <w:pPr>
        <w:spacing w:after="240"/>
      </w:pPr>
      <w:r>
        <w:t xml:space="preserve">Hospital readmissions impose substantial financial and operational burdens on healthcare systems. Each readmission costs hospitals $10,000-$15,000 on average, and since 2012, CMS has penalized hospitals with excessive readmission rates, reducing Medicare reimbursements by up to 3%. Diabetes patients face particularly high readmission risk due to complex medication regimens, multiple comorbidities, and the need for ongoing disease management.</w:t>
      </w:r>
    </w:p>
    <w:p>
      <w:pPr>
        <w:spacing w:after="240"/>
      </w:pPr>
      <w:r>
        <w:t xml:space="preserve">Many readmissions are preventable through targeted interventions such as patient education, medication management, and timely follow-up care. However, resource constraints prevent hospitals from providing intensive support to all patients. Accurate readmission prediction enables hospitals to allocate limited resources to those most likely to benefit, improving patient outcomes while reducing costs and CMS penalties.</w:t>
      </w:r>
    </w:p>
    <w:p>
      <w:pPr>
        <w:pStyle w:val="Heading2"/>
      </w:pPr>
      <w:r>
        <w:t xml:space="preserve">Research Objectives</w:t>
      </w:r>
    </w:p>
    <w:p>
      <w:pPr>
        <w:spacing w:after="120"/>
      </w:pPr>
      <w:r>
        <w:rPr>
          <w:b/>
          <w:bCs/>
        </w:rPr>
        <w:t xml:space="preserve">This project aims to:</w:t>
      </w:r>
    </w:p>
    <w:p>
      <w:pPr>
        <w:spacing w:after="120"/>
      </w:pPr>
      <w:r>
        <w:t xml:space="preserve">1. Develop a machine learning model achieving AUROC ≥0.75 for predicting 30-day readmission risk in diabetes patients, with recall ≥0.65 and precision ≥0.25 to enable actionable clinical decisions.</w:t>
      </w:r>
    </w:p>
    <w:p>
      <w:pPr>
        <w:spacing w:after="120"/>
      </w:pPr>
      <w:r>
        <w:t xml:space="preserve">2. Identify and quantify the top 10 clinical and demographic risk factors most strongly associated with readmission, providing interpretable insights for clinicians.</w:t>
      </w:r>
    </w:p>
    <w:p>
      <w:pPr>
        <w:spacing w:after="120"/>
      </w:pPr>
      <w:r>
        <w:t xml:space="preserve">3. Ensure clinical interpretability through multiple explainability techniques (SHAP, LIME, Partial Dependence Plots) to build trust and facilitate clinical adoption.</w:t>
      </w:r>
    </w:p>
    <w:p>
      <w:pPr>
        <w:spacing w:after="240"/>
      </w:pPr>
      <w:r>
        <w:t xml:space="preserve">4. Design a realistic deployment strategy that integrates predictions into clinical workflows at discharge, with concrete intervention protocols for high-risk patients.</w:t>
      </w:r>
    </w:p>
    <w:p>
      <w:pPr>
        <w:pStyle w:val="Heading1"/>
      </w:pPr>
      <w:r>
        <w:t xml:space="preserve">Dataset Overview</w:t>
      </w:r>
    </w:p>
    <w:p>
      <w:pPr>
        <w:spacing w:after="240"/>
      </w:pPr>
      <w:r>
        <w:t xml:space="preserve">We use the Diabetes 130-US Hospitals dataset from the UCI Machine Learning Repository (Strack et al., 2014). The dataset contains 101,766 inpatient encounters for diabetes patients across 130 US hospitals from 1999-2008. Each encounter includes 55 features spanning demographics, admission details, diagnoses, medications, laboratory tests, and prior healthcare utilization. The primary outcome is readmission status categorized as: no readmission, readmitted &lt;30 days, or readmitted ≥30 days.</w:t>
      </w:r>
    </w:p>
    <w:p>
      <w:pPr>
        <w:pStyle w:val="Heading2"/>
      </w:pPr>
      <w:r>
        <w:t xml:space="preserve">Target Variable</w:t>
      </w:r>
    </w:p>
    <w:p>
      <w:pPr>
        <w:spacing w:after="240"/>
      </w:pPr>
      <w:r>
        <w:t xml:space="preserve">We create a binary target variable: readmission within 30 days (1) versus no readmission or readmission after 30 days (0). This yields 11.2% positive class prevalence (class imbalance ratio 7.2:1), requiring specialized techniques to handle the imbalance during model training and evaluation.</w:t>
      </w:r>
    </w:p>
    <w:p>
      <w:pPr>
        <w:pStyle w:val="Heading2"/>
      </w:pPr>
      <w:r>
        <w:t xml:space="preserve">Feature Categories</w:t>
      </w:r>
    </w:p>
    <w:p>
      <w:pPr>
        <w:spacing w:after="120"/>
      </w:pPr>
      <w:r>
        <w:rPr>
          <w:b/>
          <w:bCs/>
        </w:rPr>
        <w:t xml:space="preserve">The 55 features can be grouped into the following categories:</w:t>
      </w:r>
    </w:p>
    <w:p>
      <w:pPr>
        <w:spacing w:after="120"/>
      </w:pPr>
      <w:r>
        <w:t xml:space="preserve">Demographics (4 features): Age group, race, gender, weight (97% missing, will be dropped).</w:t>
      </w:r>
    </w:p>
    <w:p>
      <w:pPr>
        <w:spacing w:after="120"/>
      </w:pPr>
      <w:r>
        <w:t xml:space="preserve">Admission Details (5 features): Admission type, admission source, discharge disposition, time in hospital, medical specialty (47% missing).</w:t>
      </w:r>
    </w:p>
    <w:p>
      <w:pPr>
        <w:spacing w:after="120"/>
      </w:pPr>
      <w:r>
        <w:t xml:space="preserve">Clinical Metrics (4 features): Number of lab procedures, number of procedures, number of medications, number of diagnoses.</w:t>
      </w:r>
    </w:p>
    <w:p>
      <w:pPr>
        <w:spacing w:after="120"/>
      </w:pPr>
      <w:r>
        <w:t xml:space="preserve">Diagnoses (3 features): Primary, secondary, and tertiary diagnoses (ICD-9 codes grouped into 9 categories: Circulatory, Respiratory, Digestive, Diabetes, Injury, Musculoskeletal, Genitourinary, Neoplasms, Other).</w:t>
      </w:r>
    </w:p>
    <w:p>
      <w:pPr>
        <w:spacing w:after="120"/>
      </w:pPr>
      <w:r>
        <w:t xml:space="preserve">Prior Utilization (3 features): Number of outpatient visits, emergency visits, and inpatient visits in the year before admission.</w:t>
      </w:r>
    </w:p>
    <w:p>
      <w:pPr>
        <w:spacing w:after="120"/>
      </w:pPr>
      <w:r>
        <w:t xml:space="preserve">Laboratory Results (2 features): Glucose serum test result, HbA1c test result (82% "none" indicating test not performed, but this is clinically meaningful).</w:t>
      </w:r>
    </w:p>
    <w:p>
      <w:pPr>
        <w:spacing w:after="120"/>
      </w:pPr>
      <w:r>
        <w:t xml:space="preserve">Medications (24 features): Dosage change indicators (Up/Down/Steady/No) for metformin, insulin, glyburide, and 21 other diabetes medications.</w:t>
      </w:r>
    </w:p>
    <w:p>
      <w:pPr>
        <w:spacing w:after="120"/>
      </w:pPr>
      <w:r>
        <w:t xml:space="preserve">Medication Management (2 features): Indicator for any medication change, indicator for diabetes medication prescribed.</w:t>
      </w:r>
    </w:p>
    <w:p>
      <w:pPr>
        <w:spacing w:after="240"/>
      </w:pPr>
      <w:r>
        <w:t xml:space="preserve">Identifiers (2 features): Encounter ID and patient number (for duplicate removal, not used in modeling).</w:t>
      </w:r>
    </w:p>
    <w:p>
      <w:r>
        <w:br w:type="page"/>
      </w:r>
    </w:p>
    <w:p>
      <w:pPr>
        <w:pStyle w:val="Heading1"/>
      </w:pPr>
      <w:r>
        <w:t xml:space="preserve">Data Preparation and Feature Engineering</w:t>
      </w:r>
    </w:p>
    <w:p>
      <w:pPr>
        <w:pStyle w:val="Heading2"/>
      </w:pPr>
      <w:r>
        <w:t xml:space="preserve">Preprocessing Pipeline</w:t>
      </w:r>
    </w:p>
    <w:p>
      <w:pPr>
        <w:spacing w:after="120"/>
      </w:pPr>
      <w:r>
        <w:rPr>
          <w:b/>
          <w:bCs/>
        </w:rPr>
        <w:t xml:space="preserve">Our preprocessing pipeline includes the following steps:</w:t>
      </w:r>
    </w:p>
    <w:p>
      <w:pPr>
        <w:spacing w:after="120"/>
      </w:pPr>
      <w:r>
        <w:t xml:space="preserve">1. Remove deceased or hospice discharges: Exclude encounters ending in death or hospice care as these represent fundamentally different outcomes from readmission risk.</w:t>
      </w:r>
    </w:p>
    <w:p>
      <w:pPr>
        <w:spacing w:after="120"/>
      </w:pPr>
      <w:r>
        <w:t xml:space="preserve">2. Handle duplicate encounters: For patients with multiple encounters, retain only the first encounter to prevent data leakage and ensure temporal validity.</w:t>
      </w:r>
    </w:p>
    <w:p>
      <w:pPr>
        <w:spacing w:after="120"/>
      </w:pPr>
      <w:r>
        <w:t xml:space="preserve">3. Drop high-missingness features: Remove weight (97% missing) and payer_code (52% missing) as imputation would introduce excessive uncertainty.</w:t>
      </w:r>
    </w:p>
    <w:p>
      <w:pPr>
        <w:spacing w:after="120"/>
      </w:pPr>
      <w:r>
        <w:t xml:space="preserve">4. Create binary target: Convert three-category readmission variable to binary (readmitted &lt;30 days = 1, otherwise = 0).</w:t>
      </w:r>
    </w:p>
    <w:p>
      <w:pPr>
        <w:spacing w:after="120"/>
      </w:pPr>
      <w:r>
        <w:t xml:space="preserve">5. Group ICD-9 diagnosis codes: Map thousands of ICD-9 codes to 9 clinically meaningful categories (Circulatory, Respiratory, Digestive, etc.) using standard groupings.</w:t>
      </w:r>
    </w:p>
    <w:p>
      <w:pPr>
        <w:spacing w:after="120"/>
      </w:pPr>
      <w:r>
        <w:t xml:space="preserve">6. Encode categorical variables: Apply one-hot encoding for low-cardinality features (&lt;10 categories) and target encoding for high-cardinality features like medical specialty.</w:t>
      </w:r>
    </w:p>
    <w:p>
      <w:pPr>
        <w:spacing w:after="120"/>
      </w:pPr>
      <w:r>
        <w:t xml:space="preserve">7. Scale continuous features: Standardize continuous variables using StandardScaler for compatibility with distance-based methods and neural networks.</w:t>
      </w:r>
    </w:p>
    <w:p>
      <w:pPr>
        <w:spacing w:after="240"/>
      </w:pPr>
      <w:r>
        <w:t xml:space="preserve">8. Handle class imbalance: Apply SMOTE (Synthetic Minority Over-sampling Technique) to balance training data, combined with class weights and threshold tuning.</w:t>
      </w:r>
    </w:p>
    <w:p>
      <w:pPr>
        <w:pStyle w:val="Heading2"/>
      </w:pPr>
      <w:r>
        <w:t xml:space="preserve">Feature Engineering</w:t>
      </w:r>
    </w:p>
    <w:p>
      <w:pPr>
        <w:spacing w:after="240"/>
      </w:pPr>
      <w:r>
        <w:t xml:space="preserve">We engineer 22+ derived features to capture clinical patterns associated with readmission risk:</w:t>
      </w:r>
    </w:p>
    <w:p>
      <w:pPr>
        <w:spacing w:after="120"/>
      </w:pPr>
      <w:r>
        <w:rPr>
          <w:b/>
          <w:bCs/>
        </w:rPr>
        <w:t xml:space="preserve">Comorbidity Indicators:</w:t>
      </w:r>
    </w:p>
    <w:p>
      <w:pPr>
        <w:spacing w:after="120"/>
      </w:pPr>
      <w:r>
        <w:t xml:space="preserve">• has_circulatory_dx, has_respiratory_dx, has_diabetes_dx: Binary indicators for major diagnosis categories</w:t>
      </w:r>
    </w:p>
    <w:p>
      <w:pPr>
        <w:spacing w:after="120"/>
      </w:pPr>
      <w:r>
        <w:t xml:space="preserve">• diabetes_complexity: Count of diabetes-related diagnoses (primary + secondary + tertiary)</w:t>
      </w:r>
    </w:p>
    <w:p>
      <w:pPr>
        <w:spacing w:after="240"/>
      </w:pPr>
      <w:r>
        <w:t xml:space="preserve">• polypharmacy: Indicator for ≥5 medications (associated with poor adherence and adverse events)</w:t>
      </w:r>
    </w:p>
    <w:p>
      <w:pPr>
        <w:spacing w:after="120"/>
      </w:pPr>
      <w:r>
        <w:rPr>
          <w:b/>
          <w:bCs/>
        </w:rPr>
        <w:t xml:space="preserve">Healthcare Utilization Metrics:</w:t>
      </w:r>
    </w:p>
    <w:p>
      <w:pPr>
        <w:spacing w:after="120"/>
      </w:pPr>
      <w:r>
        <w:t xml:space="preserve">• total_prior_visits: Sum of outpatient, emergency, and inpatient visits in prior year</w:t>
      </w:r>
    </w:p>
    <w:p>
      <w:pPr>
        <w:spacing w:after="120"/>
      </w:pPr>
      <w:r>
        <w:t xml:space="preserve">• high_utilizer: Indicator for ≥10 prior visits (top quartile of utilization)</w:t>
      </w:r>
    </w:p>
    <w:p>
      <w:pPr>
        <w:spacing w:after="240"/>
      </w:pPr>
      <w:r>
        <w:t xml:space="preserve">• frequent_readmitter: Indicator for ≥2 prior inpatient visits (strong predictor per literature)</w:t>
      </w:r>
    </w:p>
    <w:p>
      <w:pPr>
        <w:spacing w:after="120"/>
      </w:pPr>
      <w:r>
        <w:rPr>
          <w:b/>
          <w:bCs/>
        </w:rPr>
        <w:t xml:space="preserve">Medication Management:</w:t>
      </w:r>
    </w:p>
    <w:p>
      <w:pPr>
        <w:spacing w:after="120"/>
      </w:pPr>
      <w:r>
        <w:t xml:space="preserve">• insulin_user: Indicator for insulin usage (more complex regimen)</w:t>
      </w:r>
    </w:p>
    <w:p>
      <w:pPr>
        <w:spacing w:after="120"/>
      </w:pPr>
      <w:r>
        <w:t xml:space="preserve">• oral_agents_count: Number of oral diabetes medications</w:t>
      </w:r>
    </w:p>
    <w:p>
      <w:pPr>
        <w:spacing w:after="240"/>
      </w:pPr>
      <w:r>
        <w:t xml:space="preserve">• medication_intensity: Total number of medication changes (ups + downs)</w:t>
      </w:r>
    </w:p>
    <w:p>
      <w:pPr>
        <w:spacing w:after="120"/>
      </w:pPr>
      <w:r>
        <w:rPr>
          <w:b/>
          <w:bCs/>
        </w:rPr>
        <w:t xml:space="preserve">Laboratory Test Attention:</w:t>
      </w:r>
    </w:p>
    <w:p>
      <w:pPr>
        <w:spacing w:after="120"/>
      </w:pPr>
      <w:r>
        <w:t xml:space="preserve">• glucose_checked, a1c_checked: Indicators for whether these critical diabetes monitoring tests were performed (absence suggests suboptimal care)</w:t>
      </w:r>
    </w:p>
    <w:p>
      <w:pPr>
        <w:spacing w:after="240"/>
      </w:pPr>
      <w:r>
        <w:t xml:space="preserve">• poor_control: Indicator for HbA1c &gt;8% or glucose &gt;300 mg/dL (clinically significant thresholds)</w:t>
      </w:r>
    </w:p>
    <w:p>
      <w:pPr>
        <w:spacing w:after="120"/>
      </w:pPr>
      <w:r>
        <w:rPr>
          <w:b/>
          <w:bCs/>
        </w:rPr>
        <w:t xml:space="preserve">Interaction Terms:</w:t>
      </w:r>
    </w:p>
    <w:p>
      <w:pPr>
        <w:spacing w:after="120"/>
      </w:pPr>
      <w:r>
        <w:t xml:space="preserve">• age_group × time_in_hospital: Older patients may be more vulnerable to extended stays</w:t>
      </w:r>
    </w:p>
    <w:p>
      <w:pPr>
        <w:spacing w:after="120"/>
      </w:pPr>
      <w:r>
        <w:t xml:space="preserve">• num_medications × change: High medication burden plus changes may increase confusion</w:t>
      </w:r>
    </w:p>
    <w:p>
      <w:pPr>
        <w:spacing w:after="240"/>
      </w:pPr>
      <w:r>
        <w:t xml:space="preserve">• a1c_checked × diabetes_complexity: Testing patterns may differ by disease severity</w:t>
      </w:r>
    </w:p>
    <w:p>
      <w:r>
        <w:br w:type="page"/>
      </w:r>
    </w:p>
    <w:p>
      <w:pPr>
        <w:pStyle w:val="Heading1"/>
      </w:pPr>
      <w:r>
        <w:t xml:space="preserve">Methodology</w:t>
      </w:r>
    </w:p>
    <w:p>
      <w:pPr>
        <w:pStyle w:val="Heading2"/>
      </w:pPr>
      <w:r>
        <w:t xml:space="preserve">Model Development</w:t>
      </w:r>
    </w:p>
    <w:p>
      <w:pPr>
        <w:spacing w:after="240"/>
      </w:pPr>
      <w:r>
        <w:t xml:space="preserve">We will develop and compare four machine learning models, each offering different strengths for the readmission prediction task:</w:t>
      </w:r>
    </w:p>
    <w:p>
      <w:pPr>
        <w:spacing w:after="120"/>
      </w:pPr>
      <w:r>
        <w:rPr>
          <w:b/>
          <w:bCs/>
        </w:rPr>
        <w:t xml:space="preserve">1. Logistic Regression (Baseline):</w:t>
      </w:r>
    </w:p>
    <w:p>
      <w:pPr>
        <w:spacing w:after="240"/>
      </w:pPr>
      <w:r>
        <w:t xml:space="preserve">Serves as an interpretable baseline with coefficients directly representing feature importance. We will tune the regularization parameter C and test L1 (LASSO), L2 (Ridge), and ElasticNet penalties. Class weights will be set to 'balanced' to account for the 7.2:1 imbalance ratio.</w:t>
      </w:r>
    </w:p>
    <w:p>
      <w:pPr>
        <w:spacing w:after="120"/>
      </w:pPr>
      <w:r>
        <w:rPr>
          <w:b/>
          <w:bCs/>
        </w:rPr>
        <w:t xml:space="preserve">2. Random Forest:</w:t>
      </w:r>
    </w:p>
    <w:p>
      <w:pPr>
        <w:spacing w:after="240"/>
      </w:pPr>
      <w:r>
        <w:t xml:space="preserve">Ensemble method combining multiple decision trees to capture non-linear relationships and feature interactions. We will tune n_estimators (100-500), max_depth (10-30), and min_samples_split (2-10). Class weights will use 'balanced_subsample' to handle imbalance at the tree level. Random Forest provides native feature importance through mean decrease in impurity (MDI).</w:t>
      </w:r>
    </w:p>
    <w:p>
      <w:pPr>
        <w:spacing w:after="120"/>
      </w:pPr>
      <w:r>
        <w:rPr>
          <w:b/>
          <w:bCs/>
        </w:rPr>
        <w:t xml:space="preserve">3. XGBoost (Expected Best Performer):</w:t>
      </w:r>
    </w:p>
    <w:p>
      <w:pPr>
        <w:spacing w:after="240"/>
      </w:pPr>
      <w:r>
        <w:t xml:space="preserve">Gradient boosting algorithm expected to achieve the highest performance based on prior literature (Emi-Johnson &amp; Nkrumah, 2025: AUROC 0.667). We will set scale_pos_weight = 7.2 to reflect the imbalance ratio and tune learning_rate (0.01-0.3), max_depth (3-9), subsample (0.6-1.0), and colsample_bytree (0.6-1.0). XGBoost provides multiple feature importance metrics including gain, cover, and frequency.</w:t>
      </w:r>
    </w:p>
    <w:p>
      <w:pPr>
        <w:spacing w:after="120"/>
      </w:pPr>
      <w:r>
        <w:rPr>
          <w:b/>
          <w:bCs/>
        </w:rPr>
        <w:t xml:space="preserve">4. Deep Neural Network:</w:t>
      </w:r>
    </w:p>
    <w:p>
      <w:pPr>
        <w:spacing w:after="240"/>
      </w:pPr>
      <w:r>
        <w:t xml:space="preserve">Fully connected architecture to detect complex non-linear patterns: Input layer → Dense(128, ReLU) → Dropout(0.3) → Dense(64, ReLU) → Dropout(0.2) → Dense(1, Sigmoid). We will use class weights proportional to the inverse class frequencies and tune learning rate (0.0001-0.01), batch size (32-256), and dropout rates (0.1-0.5). Training will include early stopping based on validation AUROC.</w:t>
      </w:r>
    </w:p>
    <w:p>
      <w:pPr>
        <w:pStyle w:val="Heading2"/>
      </w:pPr>
      <w:r>
        <w:t xml:space="preserve">Evaluation Metrics</w:t>
      </w:r>
    </w:p>
    <w:p>
      <w:pPr>
        <w:spacing w:after="240"/>
      </w:pPr>
      <w:r>
        <w:t xml:space="preserve">We employ a comprehensive evaluation framework appropriate for imbalanced classification in healthcare:</w:t>
      </w:r>
    </w:p>
    <w:p>
      <w:pPr>
        <w:spacing w:after="120"/>
      </w:pPr>
      <w:r>
        <w:rPr>
          <w:b/>
          <w:bCs/>
        </w:rPr>
        <w:t xml:space="preserve">Primary Metric: AUROC (Area Under ROC Curve)</w:t>
      </w:r>
    </w:p>
    <w:p>
      <w:pPr>
        <w:spacing w:after="240"/>
      </w:pPr>
      <w:r>
        <w:t xml:space="preserve">Threshold-independent measure of discriminative ability, robust to class imbalance. Target: ≥0.75 to enable actionable clinical risk stratification.</w:t>
      </w:r>
    </w:p>
    <w:p>
      <w:pPr>
        <w:spacing w:after="120"/>
      </w:pPr>
      <w:r>
        <w:rPr>
          <w:b/>
          <w:bCs/>
        </w:rPr>
        <w:t xml:space="preserve">Secondary Metrics:</w:t>
      </w:r>
    </w:p>
    <w:p>
      <w:pPr>
        <w:spacing w:after="120"/>
      </w:pPr>
      <w:r>
        <w:t xml:space="preserve">• Precision: Proportion of predicted readmissions that actually readmit (target ≥0.25 to limit false alarms)</w:t>
      </w:r>
    </w:p>
    <w:p>
      <w:pPr>
        <w:spacing w:after="120"/>
      </w:pPr>
      <w:r>
        <w:t xml:space="preserve">• Recall (Sensitivity): Proportion of actual readmissions correctly identified (target ≥0.65 to catch high-risk patients)</w:t>
      </w:r>
    </w:p>
    <w:p>
      <w:pPr>
        <w:spacing w:after="120"/>
      </w:pPr>
      <w:r>
        <w:t xml:space="preserve">• F1-Score: Harmonic mean of precision and recall</w:t>
      </w:r>
    </w:p>
    <w:p>
      <w:pPr>
        <w:spacing w:after="240"/>
      </w:pPr>
      <w:r>
        <w:t xml:space="preserve">• Specificity: Proportion of non-readmissions correctly identified (important for resource allocation)</w:t>
      </w:r>
    </w:p>
    <w:p>
      <w:pPr>
        <w:spacing w:after="120"/>
      </w:pPr>
      <w:r>
        <w:rPr>
          <w:b/>
          <w:bCs/>
        </w:rPr>
        <w:t xml:space="preserve">Clinical Metrics:</w:t>
      </w:r>
    </w:p>
    <w:p>
      <w:pPr>
        <w:spacing w:after="120"/>
      </w:pPr>
      <w:r>
        <w:t xml:space="preserve">• Work-up-to-Detection Ratio: Number of patients flagged per true positive (target ≤4:1 for feasible intervention workload)</w:t>
      </w:r>
    </w:p>
    <w:p>
      <w:pPr>
        <w:spacing w:after="120"/>
      </w:pPr>
      <w:r>
        <w:t xml:space="preserve">• Number Needed to Evaluate: Inverse of precision, representing interventions per readmission prevented</w:t>
      </w:r>
    </w:p>
    <w:p>
      <w:pPr>
        <w:spacing w:after="240"/>
      </w:pPr>
      <w:r>
        <w:t xml:space="preserve">• Calibration: Assessed via calibration curves and Brier score to ensure predicted probabilities reflect true risk</w:t>
      </w:r>
    </w:p>
    <w:p>
      <w:pPr>
        <w:pStyle w:val="Heading2"/>
      </w:pPr>
      <w:r>
        <w:t xml:space="preserve">Cross-Validation Strategy</w:t>
      </w:r>
    </w:p>
    <w:p>
      <w:pPr>
        <w:spacing w:after="240"/>
      </w:pPr>
      <w:r>
        <w:t xml:space="preserve">We employ 5-fold stratified cross-validation to ensure robust performance estimates while maintaining class balance in each fold. The dataset is split into 70% training, 15% validation (for hyperparameter tuning), and 15% test (held out for final evaluation). Stratification ensures the 11.2% positive class prevalence is preserved across all splits.</w:t>
      </w:r>
    </w:p>
    <w:p>
      <w:r>
        <w:br w:type="page"/>
      </w:r>
    </w:p>
    <w:p>
      <w:pPr>
        <w:pStyle w:val="Heading1"/>
      </w:pPr>
      <w:r>
        <w:t xml:space="preserve">Model Interpretability</w:t>
      </w:r>
    </w:p>
    <w:p>
      <w:pPr>
        <w:spacing w:after="240"/>
      </w:pPr>
      <w:r>
        <w:t xml:space="preserve">Clinical adoption of machine learning models requires transparency and interpretability. We employ multiple complementary techniques to explain model predictions:</w:t>
      </w:r>
    </w:p>
    <w:p>
      <w:pPr>
        <w:pStyle w:val="Heading2"/>
      </w:pPr>
      <w:r>
        <w:t xml:space="preserve">Feature Importance Analysis</w:t>
      </w:r>
    </w:p>
    <w:p>
      <w:pPr>
        <w:spacing w:after="120"/>
      </w:pPr>
      <w:r>
        <w:t xml:space="preserve">• Logistic Regression: Regression coefficients directly indicate feature impact and direction</w:t>
      </w:r>
    </w:p>
    <w:p>
      <w:pPr>
        <w:spacing w:after="120"/>
      </w:pPr>
      <w:r>
        <w:t xml:space="preserve">• Random Forest: Mean Decrease in Impurity (MDI) shows which features most reduce classification error</w:t>
      </w:r>
    </w:p>
    <w:p>
      <w:pPr>
        <w:spacing w:after="120"/>
      </w:pPr>
      <w:r>
        <w:t xml:space="preserve">• XGBoost: Gain (average improvement from splits), Cover (number of samples affected), and Frequency (number of times used)</w:t>
      </w:r>
    </w:p>
    <w:p>
      <w:pPr>
        <w:spacing w:after="240"/>
      </w:pPr>
      <w:r>
        <w:t xml:space="preserve">• Neural Network: Permutation importance (performance drop when feature is shuffled)</w:t>
      </w:r>
    </w:p>
    <w:p>
      <w:pPr>
        <w:pStyle w:val="Heading2"/>
      </w:pPr>
      <w:r>
        <w:t xml:space="preserve">SHAP (SHapley Additive exPlanations)</w:t>
      </w:r>
    </w:p>
    <w:p>
      <w:pPr>
        <w:spacing w:after="240"/>
      </w:pPr>
      <w:r>
        <w:t xml:space="preserve">SHAP values provide unified, theoretically grounded explanations for any model by computing each feature's contribution to the prediction based on game theory. We will generate: (1) Global feature importance rankings averaged across all predictions, (2) Individual patient explanations showing which features drove their specific risk score, and (3) Interaction effects identifying feature combinations that jointly influence risk.</w:t>
      </w:r>
    </w:p>
    <w:p>
      <w:pPr>
        <w:pStyle w:val="Heading2"/>
      </w:pPr>
      <w:r>
        <w:t xml:space="preserve">LIME (Local Interpretable Model-agnostic Explanations)</w:t>
      </w:r>
    </w:p>
    <w:p>
      <w:pPr>
        <w:spacing w:after="240"/>
      </w:pPr>
      <w:r>
        <w:t xml:space="preserve">LIME generates local approximations of the model's decision boundary for individual predictions by fitting simple linear models to perturbed instances. This provides intuitive, patient-specific explanations complementing the global SHAP analysis. We will create standardized explanation reports for clinical review.</w:t>
      </w:r>
    </w:p>
    <w:p>
      <w:pPr>
        <w:pStyle w:val="Heading2"/>
      </w:pPr>
      <w:r>
        <w:t xml:space="preserve">Partial Dependence Plots</w:t>
      </w:r>
    </w:p>
    <w:p>
      <w:pPr>
        <w:spacing w:after="240"/>
      </w:pPr>
      <w:r>
        <w:t xml:space="preserve">Partial Dependence Plots (PDPs) visualize how predicted readmission probability changes as individual features vary across their distribution, holding other features constant. We will generate PDPs for the top 10 features at their 10th, 50th, and 90th percentiles to show non-linear relationships and clinical thresholds.</w:t>
      </w:r>
    </w:p>
    <w:p>
      <w:pPr>
        <w:pStyle w:val="Heading1"/>
      </w:pPr>
      <w:r>
        <w:t xml:space="preserve">Expected Results</w:t>
      </w:r>
    </w:p>
    <w:p>
      <w:pPr>
        <w:spacing w:after="240"/>
      </w:pPr>
      <w:r>
        <w:t xml:space="preserve">Based on prior literature and the quality of our dataset, we anticipate the following performance ranges for each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shd w:fill="D5E8F0" w:val="clear"/>
            <w:tcMar>
              <w:top w:type="dxa" w:w="80"/>
              <w:left w:type="dxa" w:w="120"/>
              <w:bottom w:type="dxa" w:w="80"/>
              <w:right w:type="dxa" w:w="120"/>
            </w:tcMar>
          </w:tcPr>
          <w:p>
            <w:r>
              <w:rPr>
                <w:b/>
                <w:bCs/>
              </w:rPr>
              <w:t xml:space="preserve">Model</w:t>
            </w:r>
          </w:p>
        </w:tc>
        <w:tc>
          <w:tcPr>
            <w:tcW w:type="dxa" w:w="1755"/>
            <w:shd w:fill="D5E8F0" w:val="clear"/>
            <w:tcMar>
              <w:top w:type="dxa" w:w="80"/>
              <w:left w:type="dxa" w:w="120"/>
              <w:bottom w:type="dxa" w:w="80"/>
              <w:right w:type="dxa" w:w="120"/>
            </w:tcMar>
          </w:tcPr>
          <w:p>
            <w:r>
              <w:rPr>
                <w:b/>
                <w:bCs/>
              </w:rPr>
              <w:t xml:space="preserve">AUROC</w:t>
            </w:r>
          </w:p>
        </w:tc>
        <w:tc>
          <w:tcPr>
            <w:tcW w:type="dxa" w:w="1755"/>
            <w:shd w:fill="D5E8F0" w:val="clear"/>
            <w:tcMar>
              <w:top w:type="dxa" w:w="80"/>
              <w:left w:type="dxa" w:w="120"/>
              <w:bottom w:type="dxa" w:w="80"/>
              <w:right w:type="dxa" w:w="120"/>
            </w:tcMar>
          </w:tcPr>
          <w:p>
            <w:r>
              <w:rPr>
                <w:b/>
                <w:bCs/>
              </w:rPr>
              <w:t xml:space="preserve">Recall</w:t>
            </w:r>
          </w:p>
        </w:tc>
        <w:tc>
          <w:tcPr>
            <w:tcW w:type="dxa" w:w="1755"/>
            <w:shd w:fill="D5E8F0" w:val="clear"/>
            <w:tcMar>
              <w:top w:type="dxa" w:w="80"/>
              <w:left w:type="dxa" w:w="120"/>
              <w:bottom w:type="dxa" w:w="80"/>
              <w:right w:type="dxa" w:w="120"/>
            </w:tcMar>
          </w:tcPr>
          <w:p>
            <w:r>
              <w:rPr>
                <w:b/>
                <w:bCs/>
              </w:rPr>
              <w:t xml:space="preserve">Precision</w:t>
            </w:r>
          </w:p>
        </w:tc>
        <w:tc>
          <w:tcPr>
            <w:tcW w:type="dxa" w:w="1755"/>
            <w:shd w:fill="D5E8F0" w:val="clear"/>
            <w:tcMar>
              <w:top w:type="dxa" w:w="80"/>
              <w:left w:type="dxa" w:w="120"/>
              <w:bottom w:type="dxa" w:w="80"/>
              <w:right w:type="dxa" w:w="120"/>
            </w:tcMar>
          </w:tcPr>
          <w:p>
            <w:r>
              <w:rPr>
                <w:b/>
                <w:bCs/>
              </w:rPr>
              <w:t xml:space="preserve">F1-Score</w:t>
            </w:r>
          </w:p>
        </w:tc>
      </w:tr>
      <w:tr>
        <w:tc>
          <w:tcPr>
            <w:tcW w:type="dxa" w:w="2340"/>
            <w:tcMar>
              <w:top w:type="dxa" w:w="80"/>
              <w:left w:type="dxa" w:w="120"/>
              <w:bottom w:type="dxa" w:w="80"/>
              <w:right w:type="dxa" w:w="120"/>
            </w:tcMar>
          </w:tcPr>
          <w:p>
            <w:r>
              <w:t xml:space="preserve">Logistic Regression</w:t>
            </w:r>
          </w:p>
        </w:tc>
        <w:tc>
          <w:tcPr>
            <w:tcW w:type="dxa" w:w="1755"/>
            <w:tcMar>
              <w:top w:type="dxa" w:w="80"/>
              <w:left w:type="dxa" w:w="120"/>
              <w:bottom w:type="dxa" w:w="80"/>
              <w:right w:type="dxa" w:w="120"/>
            </w:tcMar>
          </w:tcPr>
          <w:p>
            <w:r>
              <w:t xml:space="preserve">≥0.68</w:t>
            </w:r>
          </w:p>
        </w:tc>
        <w:tc>
          <w:tcPr>
            <w:tcW w:type="dxa" w:w="1755"/>
            <w:tcMar>
              <w:top w:type="dxa" w:w="80"/>
              <w:left w:type="dxa" w:w="120"/>
              <w:bottom w:type="dxa" w:w="80"/>
              <w:right w:type="dxa" w:w="120"/>
            </w:tcMar>
          </w:tcPr>
          <w:p>
            <w:r>
              <w:t xml:space="preserve">≥0.60</w:t>
            </w:r>
          </w:p>
        </w:tc>
        <w:tc>
          <w:tcPr>
            <w:tcW w:type="dxa" w:w="1755"/>
            <w:tcMar>
              <w:top w:type="dxa" w:w="80"/>
              <w:left w:type="dxa" w:w="120"/>
              <w:bottom w:type="dxa" w:w="80"/>
              <w:right w:type="dxa" w:w="120"/>
            </w:tcMar>
          </w:tcPr>
          <w:p>
            <w:r>
              <w:t xml:space="preserve">≥0.20</w:t>
            </w:r>
          </w:p>
        </w:tc>
        <w:tc>
          <w:tcPr>
            <w:tcW w:type="dxa" w:w="1755"/>
            <w:tcMar>
              <w:top w:type="dxa" w:w="80"/>
              <w:left w:type="dxa" w:w="120"/>
              <w:bottom w:type="dxa" w:w="80"/>
              <w:right w:type="dxa" w:w="120"/>
            </w:tcMar>
          </w:tcPr>
          <w:p>
            <w:r>
              <w:t xml:space="preserve">≥0.30</w:t>
            </w:r>
          </w:p>
        </w:tc>
      </w:tr>
      <w:tr>
        <w:tc>
          <w:tcPr>
            <w:tcW w:type="dxa" w:w="2340"/>
            <w:tcMar>
              <w:top w:type="dxa" w:w="80"/>
              <w:left w:type="dxa" w:w="120"/>
              <w:bottom w:type="dxa" w:w="80"/>
              <w:right w:type="dxa" w:w="120"/>
            </w:tcMar>
          </w:tcPr>
          <w:p>
            <w:r>
              <w:t xml:space="preserve">Random Forest</w:t>
            </w:r>
          </w:p>
        </w:tc>
        <w:tc>
          <w:tcPr>
            <w:tcW w:type="dxa" w:w="1755"/>
            <w:tcMar>
              <w:top w:type="dxa" w:w="80"/>
              <w:left w:type="dxa" w:w="120"/>
              <w:bottom w:type="dxa" w:w="80"/>
              <w:right w:type="dxa" w:w="120"/>
            </w:tcMar>
          </w:tcPr>
          <w:p>
            <w:r>
              <w:t xml:space="preserve">≥0.70</w:t>
            </w:r>
          </w:p>
        </w:tc>
        <w:tc>
          <w:tcPr>
            <w:tcW w:type="dxa" w:w="1755"/>
            <w:tcMar>
              <w:top w:type="dxa" w:w="80"/>
              <w:left w:type="dxa" w:w="120"/>
              <w:bottom w:type="dxa" w:w="80"/>
              <w:right w:type="dxa" w:w="120"/>
            </w:tcMar>
          </w:tcPr>
          <w:p>
            <w:r>
              <w:t xml:space="preserve">≥0.62</w:t>
            </w:r>
          </w:p>
        </w:tc>
        <w:tc>
          <w:tcPr>
            <w:tcW w:type="dxa" w:w="1755"/>
            <w:tcMar>
              <w:top w:type="dxa" w:w="80"/>
              <w:left w:type="dxa" w:w="120"/>
              <w:bottom w:type="dxa" w:w="80"/>
              <w:right w:type="dxa" w:w="120"/>
            </w:tcMar>
          </w:tcPr>
          <w:p>
            <w:r>
              <w:t xml:space="preserve">≥0.22</w:t>
            </w:r>
          </w:p>
        </w:tc>
        <w:tc>
          <w:tcPr>
            <w:tcW w:type="dxa" w:w="1755"/>
            <w:tcMar>
              <w:top w:type="dxa" w:w="80"/>
              <w:left w:type="dxa" w:w="120"/>
              <w:bottom w:type="dxa" w:w="80"/>
              <w:right w:type="dxa" w:w="120"/>
            </w:tcMar>
          </w:tcPr>
          <w:p>
            <w:r>
              <w:t xml:space="preserve">≥0.33</w:t>
            </w:r>
          </w:p>
        </w:tc>
      </w:tr>
      <w:tr>
        <w:tc>
          <w:tcPr>
            <w:tcW w:type="dxa" w:w="2340"/>
            <w:shd w:fill="E8F5E9" w:val="clear"/>
            <w:tcMar>
              <w:top w:type="dxa" w:w="80"/>
              <w:left w:type="dxa" w:w="120"/>
              <w:bottom w:type="dxa" w:w="80"/>
              <w:right w:type="dxa" w:w="120"/>
            </w:tcMar>
          </w:tcPr>
          <w:p>
            <w:r>
              <w:rPr>
                <w:b/>
                <w:bCs/>
              </w:rPr>
              <w:t xml:space="preserve">XGBoost</w:t>
            </w:r>
          </w:p>
        </w:tc>
        <w:tc>
          <w:tcPr>
            <w:tcW w:type="dxa" w:w="1755"/>
            <w:shd w:fill="E8F5E9" w:val="clear"/>
            <w:tcMar>
              <w:top w:type="dxa" w:w="80"/>
              <w:left w:type="dxa" w:w="120"/>
              <w:bottom w:type="dxa" w:w="80"/>
              <w:right w:type="dxa" w:w="120"/>
            </w:tcMar>
          </w:tcPr>
          <w:p>
            <w:r>
              <w:rPr>
                <w:b/>
                <w:bCs/>
              </w:rPr>
              <w:t xml:space="preserve">≥0.75</w:t>
            </w:r>
          </w:p>
        </w:tc>
        <w:tc>
          <w:tcPr>
            <w:tcW w:type="dxa" w:w="1755"/>
            <w:shd w:fill="E8F5E9" w:val="clear"/>
            <w:tcMar>
              <w:top w:type="dxa" w:w="80"/>
              <w:left w:type="dxa" w:w="120"/>
              <w:bottom w:type="dxa" w:w="80"/>
              <w:right w:type="dxa" w:w="120"/>
            </w:tcMar>
          </w:tcPr>
          <w:p>
            <w:r>
              <w:rPr>
                <w:b/>
                <w:bCs/>
              </w:rPr>
              <w:t xml:space="preserve">≥0.65</w:t>
            </w:r>
          </w:p>
        </w:tc>
        <w:tc>
          <w:tcPr>
            <w:tcW w:type="dxa" w:w="1755"/>
            <w:shd w:fill="E8F5E9" w:val="clear"/>
            <w:tcMar>
              <w:top w:type="dxa" w:w="80"/>
              <w:left w:type="dxa" w:w="120"/>
              <w:bottom w:type="dxa" w:w="80"/>
              <w:right w:type="dxa" w:w="120"/>
            </w:tcMar>
          </w:tcPr>
          <w:p>
            <w:r>
              <w:rPr>
                <w:b/>
                <w:bCs/>
              </w:rPr>
              <w:t xml:space="preserve">≥0.25</w:t>
            </w:r>
          </w:p>
        </w:tc>
        <w:tc>
          <w:tcPr>
            <w:tcW w:type="dxa" w:w="1755"/>
            <w:shd w:fill="E8F5E9" w:val="clear"/>
            <w:tcMar>
              <w:top w:type="dxa" w:w="80"/>
              <w:left w:type="dxa" w:w="120"/>
              <w:bottom w:type="dxa" w:w="80"/>
              <w:right w:type="dxa" w:w="120"/>
            </w:tcMar>
          </w:tcPr>
          <w:p>
            <w:r>
              <w:rPr>
                <w:b/>
                <w:bCs/>
              </w:rPr>
              <w:t xml:space="preserve">≥0.37</w:t>
            </w:r>
          </w:p>
        </w:tc>
      </w:tr>
      <w:tr>
        <w:tc>
          <w:tcPr>
            <w:tcW w:type="dxa" w:w="2340"/>
            <w:tcMar>
              <w:top w:type="dxa" w:w="80"/>
              <w:left w:type="dxa" w:w="120"/>
              <w:bottom w:type="dxa" w:w="80"/>
              <w:right w:type="dxa" w:w="120"/>
            </w:tcMar>
          </w:tcPr>
          <w:p>
            <w:r>
              <w:t xml:space="preserve">Deep Neural Network</w:t>
            </w:r>
          </w:p>
        </w:tc>
        <w:tc>
          <w:tcPr>
            <w:tcW w:type="dxa" w:w="1755"/>
            <w:tcMar>
              <w:top w:type="dxa" w:w="80"/>
              <w:left w:type="dxa" w:w="120"/>
              <w:bottom w:type="dxa" w:w="80"/>
              <w:right w:type="dxa" w:w="120"/>
            </w:tcMar>
          </w:tcPr>
          <w:p>
            <w:r>
              <w:t xml:space="preserve">≥0.72</w:t>
            </w:r>
          </w:p>
        </w:tc>
        <w:tc>
          <w:tcPr>
            <w:tcW w:type="dxa" w:w="1755"/>
            <w:tcMar>
              <w:top w:type="dxa" w:w="80"/>
              <w:left w:type="dxa" w:w="120"/>
              <w:bottom w:type="dxa" w:w="80"/>
              <w:right w:type="dxa" w:w="120"/>
            </w:tcMar>
          </w:tcPr>
          <w:p>
            <w:r>
              <w:t xml:space="preserve">≥0.63</w:t>
            </w:r>
          </w:p>
        </w:tc>
        <w:tc>
          <w:tcPr>
            <w:tcW w:type="dxa" w:w="1755"/>
            <w:tcMar>
              <w:top w:type="dxa" w:w="80"/>
              <w:left w:type="dxa" w:w="120"/>
              <w:bottom w:type="dxa" w:w="80"/>
              <w:right w:type="dxa" w:w="120"/>
            </w:tcMar>
          </w:tcPr>
          <w:p>
            <w:r>
              <w:t xml:space="preserve">≥0.23</w:t>
            </w:r>
          </w:p>
        </w:tc>
        <w:tc>
          <w:tcPr>
            <w:tcW w:type="dxa" w:w="1755"/>
            <w:tcMar>
              <w:top w:type="dxa" w:w="80"/>
              <w:left w:type="dxa" w:w="120"/>
              <w:bottom w:type="dxa" w:w="80"/>
              <w:right w:type="dxa" w:w="120"/>
            </w:tcMar>
          </w:tcPr>
          <w:p>
            <w:r>
              <w:t xml:space="preserve">≥0.34</w:t>
            </w:r>
          </w:p>
        </w:tc>
      </w:tr>
    </w:tbl>
    <w:p>
      <w:pPr>
        <w:spacing w:before="240" w:after="240"/>
      </w:pPr>
      <w:r>
        <w:t xml:space="preserve">XGBoost is highlighted as the expected best performer based on Emi-Johnson &amp; Nkrumah (2025), who achieved AUROC 0.667 on this exact dataset. Our enhanced feature engineering and hyperparameter optimization should enable us to exceed this benchmark.</w:t>
      </w:r>
    </w:p>
    <w:p>
      <w:r>
        <w:br w:type="page"/>
      </w:r>
    </w:p>
    <w:p>
      <w:pPr>
        <w:pStyle w:val="Heading1"/>
      </w:pPr>
      <w:r>
        <w:t xml:space="preserve">Proposed Deployment Strategy</w:t>
      </w:r>
    </w:p>
    <w:p>
      <w:pPr>
        <w:pStyle w:val="Heading2"/>
      </w:pPr>
      <w:r>
        <w:t xml:space="preserve">Clinical Integration</w:t>
      </w:r>
    </w:p>
    <w:p>
      <w:pPr>
        <w:spacing w:after="240"/>
      </w:pPr>
      <w:r>
        <w:t xml:space="preserve">The model will be integrated into the electronic health record (EHR) system to provide real-time risk predictions at the point of discharge order entry. When a clinician initiates discharge for a diabetes patient, the system automatically computes the readmission risk score and displays: (1) Predicted probability of 30-day readmission, (2) Risk category (Low &lt;20%, Moderate 20-40%, High &gt;40%), and (3) Top 3 contributing risk factors with SHAP explanations.</w:t>
      </w:r>
    </w:p>
    <w:p>
      <w:pPr>
        <w:pStyle w:val="Heading2"/>
      </w:pPr>
      <w:r>
        <w:t xml:space="preserve">Intervention Protocol</w:t>
      </w:r>
    </w:p>
    <w:p>
      <w:pPr>
        <w:spacing w:after="240"/>
      </w:pPr>
      <w:r>
        <w:t xml:space="preserve">Patients flagged as high-risk (predicted probability ≥30%, corresponding to approximately the top 25% of patients) receive enhanced discharge interventions:</w:t>
      </w:r>
    </w:p>
    <w:p>
      <w:pPr>
        <w:spacing w:after="120"/>
      </w:pPr>
      <w:r>
        <w:t xml:space="preserve">• Extended discharge counseling (30 minutes vs. standard 15 minutes) covering medication management, symptom recognition, and follow-up instructions</w:t>
      </w:r>
    </w:p>
    <w:p>
      <w:pPr>
        <w:spacing w:after="120"/>
      </w:pPr>
      <w:r>
        <w:t xml:space="preserve">• Comprehensive medication reconciliation by clinical pharmacist with special attention to diabetes medications and potential interactions</w:t>
      </w:r>
    </w:p>
    <w:p>
      <w:pPr>
        <w:spacing w:after="120"/>
      </w:pPr>
      <w:r>
        <w:t xml:space="preserve">• Scheduled 72-hour follow-up phone call from care coordinator to assess adherence, answer questions, and troubleshoot barriers</w:t>
      </w:r>
    </w:p>
    <w:p>
      <w:pPr>
        <w:spacing w:after="120"/>
      </w:pPr>
      <w:r>
        <w:t xml:space="preserve">• Priority scheduling for outpatient follow-up within 7 days (vs. standard 14 days)</w:t>
      </w:r>
    </w:p>
    <w:p>
      <w:pPr>
        <w:spacing w:after="240"/>
      </w:pPr>
      <w:r>
        <w:t xml:space="preserve">• Home health referral for patients with mobility limitations or complex medication regimens</w:t>
      </w:r>
    </w:p>
    <w:p>
      <w:pPr>
        <w:pStyle w:val="Heading2"/>
      </w:pPr>
      <w:r>
        <w:t xml:space="preserve">Care Coordination Dashboard</w:t>
      </w:r>
    </w:p>
    <w:p>
      <w:pPr>
        <w:spacing w:after="240"/>
      </w:pPr>
      <w:r>
        <w:t xml:space="preserve">A dedicated dashboard will display the daily list of high-risk patients flagged for enhanced interventions, track intervention completion rates, and monitor actual versus predicted readmissions. This enables care coordinators to prioritize outreach and provides data for continuous quality improvement.</w:t>
      </w:r>
    </w:p>
    <w:p>
      <w:pPr>
        <w:pStyle w:val="Heading2"/>
      </w:pPr>
      <w:r>
        <w:t xml:space="preserve">Model Monitoring and Updating</w:t>
      </w:r>
    </w:p>
    <w:p>
      <w:pPr>
        <w:spacing w:after="240"/>
      </w:pPr>
      <w:r>
        <w:t xml:space="preserve">Model performance will be monitored weekly by comparing predicted versus actual readmissions for all discharged patients. If AUROC drops below 0.70, an alert triggers investigation for potential data drift or systematic changes in care patterns. The model will be retrained quarterly using the most recent 12 months of data to maintain calibration. Feedback from clinicians on prediction quality and intervention effectiveness will inform ongoing refinement.</w:t>
      </w:r>
    </w:p>
    <w:p>
      <w:pPr>
        <w:pStyle w:val="Heading1"/>
      </w:pPr>
      <w:r>
        <w:t xml:space="preserve">Next Steps and Timeline</w:t>
      </w:r>
    </w:p>
    <w:p>
      <w:pPr>
        <w:pStyle w:val="Heading2"/>
      </w:pPr>
      <w:r>
        <w:t xml:space="preserve">Week 6-7: Model Development</w:t>
      </w:r>
    </w:p>
    <w:p>
      <w:pPr>
        <w:spacing w:after="120"/>
      </w:pPr>
      <w:r>
        <w:t xml:space="preserve">• Implement preprocessing pipeline and feature engineering</w:t>
      </w:r>
    </w:p>
    <w:p>
      <w:pPr>
        <w:spacing w:after="120"/>
      </w:pPr>
      <w:r>
        <w:t xml:space="preserve">• Develop and tune all four models using cross-validation</w:t>
      </w:r>
    </w:p>
    <w:p>
      <w:pPr>
        <w:spacing w:after="240"/>
      </w:pPr>
      <w:r>
        <w:t xml:space="preserve">• Generate feature importance rankings and SHAP analysis</w:t>
      </w:r>
    </w:p>
    <w:p>
      <w:pPr>
        <w:pStyle w:val="Heading2"/>
      </w:pPr>
      <w:r>
        <w:t xml:space="preserve">Week 8: Model Evaluation and Comparison</w:t>
      </w:r>
    </w:p>
    <w:p>
      <w:pPr>
        <w:spacing w:after="120"/>
      </w:pPr>
      <w:r>
        <w:t xml:space="preserve">• Evaluate models on held-out test set</w:t>
      </w:r>
    </w:p>
    <w:p>
      <w:pPr>
        <w:spacing w:after="120"/>
      </w:pPr>
      <w:r>
        <w:t xml:space="preserve">• Compare performance across AUROC, precision, recall, and clinical metrics</w:t>
      </w:r>
    </w:p>
    <w:p>
      <w:pPr>
        <w:spacing w:after="240"/>
      </w:pPr>
      <w:r>
        <w:t xml:space="preserve">• Assess calibration and generate patient-level LIME explanations</w:t>
      </w:r>
    </w:p>
    <w:p>
      <w:pPr>
        <w:pStyle w:val="Heading2"/>
      </w:pPr>
      <w:r>
        <w:t xml:space="preserve">Week 9: Results Interpretation</w:t>
      </w:r>
    </w:p>
    <w:p>
      <w:pPr>
        <w:spacing w:after="120"/>
      </w:pPr>
      <w:r>
        <w:t xml:space="preserve">• Identify top 10 risk factors across all models</w:t>
      </w:r>
    </w:p>
    <w:p>
      <w:pPr>
        <w:spacing w:after="120"/>
      </w:pPr>
      <w:r>
        <w:t xml:space="preserve">• Generate Partial Dependence Plots for clinical interpretation</w:t>
      </w:r>
    </w:p>
    <w:p>
      <w:pPr>
        <w:spacing w:after="240"/>
      </w:pPr>
      <w:r>
        <w:t xml:space="preserve">• Develop actionable clinical insights and recommendations</w:t>
      </w:r>
    </w:p>
    <w:p>
      <w:pPr>
        <w:pStyle w:val="Heading2"/>
      </w:pPr>
      <w:r>
        <w:t xml:space="preserve">Week 10: Final Report and Presentation</w:t>
      </w:r>
    </w:p>
    <w:p>
      <w:pPr>
        <w:spacing w:after="120"/>
      </w:pPr>
      <w:r>
        <w:t xml:space="preserve">• Write comprehensive final report with all results and analysis</w:t>
      </w:r>
    </w:p>
    <w:p>
      <w:pPr>
        <w:spacing w:after="120"/>
      </w:pPr>
      <w:r>
        <w:t xml:space="preserve">• Prepare presentation slides and deliver to class</w:t>
      </w:r>
    </w:p>
    <w:p>
      <w:pPr>
        <w:spacing w:after="240"/>
      </w:pPr>
      <w:r>
        <w:t xml:space="preserve">• Submit all code, documentation, and deliverables to GitHub</w:t>
      </w:r>
    </w:p>
    <w:p>
      <w:pPr>
        <w:pStyle w:val="Heading1"/>
      </w:pPr>
      <w:r>
        <w:t xml:space="preserve">Team Contributions</w:t>
      </w:r>
    </w:p>
    <w:p>
      <w:pPr>
        <w:spacing w:after="120"/>
      </w:pPr>
      <w:r>
        <w:t xml:space="preserve">Abdullah Abdul Sami: Annotated bibliography papers #1, #2, #7; Data preprocessing and feature engineering</w:t>
      </w:r>
    </w:p>
    <w:p>
      <w:pPr>
        <w:spacing w:after="120"/>
      </w:pPr>
      <w:r>
        <w:t xml:space="preserve">Feifan Liu: Annotated bibliography papers #5, #8; Model development (Logistic Regression, XGBoost)</w:t>
      </w:r>
    </w:p>
    <w:p>
      <w:pPr>
        <w:spacing w:after="240"/>
      </w:pPr>
      <w:r>
        <w:t xml:space="preserve">Jiahao Li: Annotated bibliography papers #3, #4, #9; Exploratory data analysis and visualization</w:t>
      </w:r>
    </w:p>
    <w:p>
      <w:pPr>
        <w:spacing w:after="240"/>
      </w:pPr>
      <w:r>
        <w:rPr>
          <w:i/>
          <w:iCs/>
        </w:rPr>
        <w:t xml:space="preserve">Each team member contributed 3 papers to the annotated bibliography (9 total).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2026-02-09T01:05:43.163Z</dcterms:created>
  <dcterms:modified xsi:type="dcterms:W3CDTF">2026-02-09T01:05:43.164Z</dcterms:modified>
</cp:coreProperties>
</file>

<file path=docProps/custom.xml><?xml version="1.0" encoding="utf-8"?>
<Properties xmlns="http://schemas.openxmlformats.org/officeDocument/2006/custom-properties" xmlns:vt="http://schemas.openxmlformats.org/officeDocument/2006/docPropsVTypes"/>
</file>