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02C9" w:rsidRDefault="00F902C9" w:rsidP="00F90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Toc215429017"/>
      <w:r w:rsidRPr="00F902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Med-RAG — Technical Documentation</w:t>
      </w:r>
      <w:bookmarkEnd w:id="0"/>
    </w:p>
    <w:p w:rsidR="00E2059C" w:rsidRDefault="00E2059C" w:rsidP="00F90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2059C" w:rsidRDefault="00E2059C" w:rsidP="00E2059C">
      <w:pPr>
        <w:pStyle w:val="Heading2"/>
      </w:pPr>
      <w:bookmarkStart w:id="1" w:name="_Toc215429018"/>
      <w:r>
        <w:t>Abstract</w:t>
      </w:r>
      <w:bookmarkEnd w:id="1"/>
    </w:p>
    <w:p w:rsidR="00E2059C" w:rsidRDefault="00E2059C" w:rsidP="00E2059C">
      <w:pPr>
        <w:pStyle w:val="NormalWeb"/>
        <w:jc w:val="both"/>
      </w:pPr>
      <w:r>
        <w:t xml:space="preserve">This document describes the </w:t>
      </w:r>
      <w:r>
        <w:rPr>
          <w:b/>
          <w:bCs/>
        </w:rPr>
        <w:t>Med-RAG (Medical Retrieval-Augmented Generation) System</w:t>
      </w:r>
      <w:r>
        <w:t xml:space="preserve">, an AI-powered solution designed to address the challenges of accessing fast, reliable, and grounded medical information. Utilizing a Retrieval-Augmented Generation architecture, the system is trained on an extensive </w:t>
      </w:r>
      <w:r>
        <w:rPr>
          <w:b/>
          <w:bCs/>
        </w:rPr>
        <w:t>Kaggle medicine dataset</w:t>
      </w:r>
      <w:r>
        <w:t xml:space="preserve"> comprising over 200,000 entries with crucial details like ingredients, side effects, manufacturer, and alternatives. The Med-RAG system converts this voluminous, structured data into high-dimensional vector embeddings, stored and indexed within a Vector Database (e.g., </w:t>
      </w:r>
      <w:proofErr w:type="spellStart"/>
      <w:r>
        <w:t>ChromaDB</w:t>
      </w:r>
      <w:proofErr w:type="spellEnd"/>
      <w:r>
        <w:t xml:space="preserve">/FAISS). Upon receiving a natural-language query from a clinician or patient, the system retrieves the most semantically relevant medical context, which is then passed to a Large Language Model (LLM) via a strictly engineered prompt. This process ensures the generated responses are </w:t>
      </w:r>
      <w:r>
        <w:rPr>
          <w:b/>
          <w:bCs/>
        </w:rPr>
        <w:t>factually accurate and grounded</w:t>
      </w:r>
      <w:r>
        <w:t xml:space="preserve"> in the source data, effectively mitigating AI hallucination while providing critical information such as </w:t>
      </w:r>
      <w:r>
        <w:rPr>
          <w:b/>
          <w:bCs/>
        </w:rPr>
        <w:t>side-effect profiles</w:t>
      </w:r>
      <w:r>
        <w:t xml:space="preserve"> and </w:t>
      </w:r>
      <w:r>
        <w:rPr>
          <w:b/>
          <w:bCs/>
        </w:rPr>
        <w:t>medicine alternatives</w:t>
      </w:r>
      <w:r>
        <w:t>. The Med-RAG system offers a scalable, low-latency solution to modernize pharmaceutical data access and support informed medical decision-making.</w:t>
      </w:r>
    </w:p>
    <w:p w:rsidR="00E2059C" w:rsidRDefault="00E2059C" w:rsidP="00F90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2059C" w:rsidRDefault="00E2059C" w:rsidP="00F90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2059C" w:rsidRDefault="00E2059C" w:rsidP="00F90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2059C" w:rsidRDefault="00E2059C" w:rsidP="00F90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2059C" w:rsidRDefault="00E2059C" w:rsidP="00F90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2059C" w:rsidRDefault="00E2059C" w:rsidP="00F90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2059C" w:rsidRDefault="00E2059C" w:rsidP="00F90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2059C" w:rsidRDefault="00E2059C" w:rsidP="00F90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6621492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2059C" w:rsidRDefault="00E2059C">
          <w:pPr>
            <w:pStyle w:val="TOCHeading"/>
          </w:pPr>
          <w:r>
            <w:t>Contents</w:t>
          </w:r>
        </w:p>
        <w:p w:rsidR="00EE401D" w:rsidRDefault="00E205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2" w:name="_GoBack"/>
          <w:bookmarkEnd w:id="2"/>
          <w:r w:rsidR="00EE401D" w:rsidRPr="006A59F4">
            <w:rPr>
              <w:rStyle w:val="Hyperlink"/>
              <w:noProof/>
            </w:rPr>
            <w:fldChar w:fldCharType="begin"/>
          </w:r>
          <w:r w:rsidR="00EE401D" w:rsidRPr="006A59F4">
            <w:rPr>
              <w:rStyle w:val="Hyperlink"/>
              <w:noProof/>
            </w:rPr>
            <w:instrText xml:space="preserve"> </w:instrText>
          </w:r>
          <w:r w:rsidR="00EE401D">
            <w:rPr>
              <w:noProof/>
            </w:rPr>
            <w:instrText>HYPERLINK \l "_Toc215429017"</w:instrText>
          </w:r>
          <w:r w:rsidR="00EE401D" w:rsidRPr="006A59F4">
            <w:rPr>
              <w:rStyle w:val="Hyperlink"/>
              <w:noProof/>
            </w:rPr>
            <w:instrText xml:space="preserve"> </w:instrText>
          </w:r>
          <w:r w:rsidR="00EE401D" w:rsidRPr="006A59F4">
            <w:rPr>
              <w:rStyle w:val="Hyperlink"/>
              <w:noProof/>
            </w:rPr>
          </w:r>
          <w:r w:rsidR="00EE401D" w:rsidRPr="006A59F4">
            <w:rPr>
              <w:rStyle w:val="Hyperlink"/>
              <w:noProof/>
            </w:rPr>
            <w:fldChar w:fldCharType="separate"/>
          </w:r>
          <w:r w:rsidR="00EE401D" w:rsidRPr="006A59F4">
            <w:rPr>
              <w:rStyle w:val="Hyperlink"/>
              <w:rFonts w:ascii="Times New Roman" w:eastAsia="Times New Roman" w:hAnsi="Times New Roman" w:cs="Times New Roman"/>
              <w:b/>
              <w:bCs/>
              <w:noProof/>
              <w:kern w:val="36"/>
            </w:rPr>
            <w:t>Med-RAG — Technical Documentation</w:t>
          </w:r>
          <w:r w:rsidR="00EE401D">
            <w:rPr>
              <w:noProof/>
              <w:webHidden/>
            </w:rPr>
            <w:tab/>
          </w:r>
          <w:r w:rsidR="00EE401D">
            <w:rPr>
              <w:noProof/>
              <w:webHidden/>
            </w:rPr>
            <w:fldChar w:fldCharType="begin"/>
          </w:r>
          <w:r w:rsidR="00EE401D">
            <w:rPr>
              <w:noProof/>
              <w:webHidden/>
            </w:rPr>
            <w:instrText xml:space="preserve"> PAGEREF _Toc215429017 \h </w:instrText>
          </w:r>
          <w:r w:rsidR="00EE401D">
            <w:rPr>
              <w:noProof/>
              <w:webHidden/>
            </w:rPr>
          </w:r>
          <w:r w:rsidR="00EE401D">
            <w:rPr>
              <w:noProof/>
              <w:webHidden/>
            </w:rPr>
            <w:fldChar w:fldCharType="separate"/>
          </w:r>
          <w:r w:rsidR="00EE401D">
            <w:rPr>
              <w:noProof/>
              <w:webHidden/>
            </w:rPr>
            <w:t>1</w:t>
          </w:r>
          <w:r w:rsidR="00EE401D">
            <w:rPr>
              <w:noProof/>
              <w:webHidden/>
            </w:rPr>
            <w:fldChar w:fldCharType="end"/>
          </w:r>
          <w:r w:rsidR="00EE401D" w:rsidRPr="006A59F4">
            <w:rPr>
              <w:rStyle w:val="Hyperlink"/>
              <w:noProof/>
            </w:rPr>
            <w:fldChar w:fldCharType="end"/>
          </w:r>
        </w:p>
        <w:p w:rsidR="00EE401D" w:rsidRDefault="00EE401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18" w:history="1">
            <w:r w:rsidRPr="006A59F4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19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20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21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 Data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22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2.1 Kaggle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23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2.2 Dataset Columns (9 fields)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24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25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Standard RAG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26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Core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27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 Pipeline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28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4.1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29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4.2 Chunking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30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 Embeddings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31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Model Choice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32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 Vector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33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34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35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7. Query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36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8. Prompt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37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System Prompt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38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Context Window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39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Output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40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9. Safety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41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System Disclaimer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42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Optional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43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10. Deployment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44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Offline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45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Ingestion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46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Online Serving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47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User Interface (UI)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48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11. Performance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49" w:history="1">
            <w:r w:rsidRPr="006A59F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12. Future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50" w:history="1">
            <w:r w:rsidRPr="006A59F4">
              <w:rPr>
                <w:rStyle w:val="Hyperlink"/>
                <w:noProof/>
              </w:rPr>
              <w:t>Security &amp;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401D" w:rsidRDefault="00EE401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429051" w:history="1">
            <w:r w:rsidRPr="006A59F4">
              <w:rPr>
                <w:rStyle w:val="Hyperlink"/>
                <w:noProof/>
              </w:rPr>
              <w:t>Regulatory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059C" w:rsidRDefault="00E2059C">
          <w:r>
            <w:rPr>
              <w:b/>
              <w:bCs/>
              <w:noProof/>
            </w:rPr>
            <w:fldChar w:fldCharType="end"/>
          </w:r>
        </w:p>
      </w:sdtContent>
    </w:sdt>
    <w:p w:rsidR="00E2059C" w:rsidRPr="00F902C9" w:rsidRDefault="00E2059C" w:rsidP="00F90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" w:name="_Toc215429019"/>
      <w:r w:rsidRPr="00F902C9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  <w:bookmarkEnd w:id="3"/>
    </w:p>
    <w:p w:rsidR="00F902C9" w:rsidRPr="00F902C9" w:rsidRDefault="00F902C9" w:rsidP="00F902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Med-RAG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is a Retrieval-Augmented Generation (RAG) system specifically engineered and trained on a large corpus of over </w:t>
      </w: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200,000 medicine entries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It enables clinicians, pharmacists, and patients to ask robust natural-language medical questions and receive responses that are strictly </w:t>
      </w: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grounded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in real drug-related data, significantly minimizing the risk of AI hallucination.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" w:name="_Toc215429020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</w:t>
      </w:r>
      <w:bookmarkEnd w:id="4"/>
    </w:p>
    <w:p w:rsidR="00F902C9" w:rsidRPr="00F902C9" w:rsidRDefault="00F902C9" w:rsidP="00F9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Manufacturer lookup: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Fast retrieval of the pharmaceutical producer.</w:t>
      </w:r>
    </w:p>
    <w:p w:rsidR="00F902C9" w:rsidRPr="00F902C9" w:rsidRDefault="00F902C9" w:rsidP="00F9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Medicine alternatives: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Suggestion of similar therapeutic drugs.</w:t>
      </w:r>
    </w:p>
    <w:p w:rsidR="00F902C9" w:rsidRPr="00F902C9" w:rsidRDefault="00F902C9" w:rsidP="00F9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Side-effect profiling: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Detailed explanation of known adverse reactions.</w:t>
      </w:r>
    </w:p>
    <w:p w:rsidR="00F902C9" w:rsidRPr="00F902C9" w:rsidRDefault="00F902C9" w:rsidP="00F9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 explanation: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Clarification of active substances and formulation details.</w:t>
      </w:r>
    </w:p>
    <w:p w:rsidR="00F902C9" w:rsidRPr="00F902C9" w:rsidRDefault="00F902C9" w:rsidP="00F9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Patient-friendly responses: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Explanations delivered in clear, accessible language.</w:t>
      </w:r>
    </w:p>
    <w:p w:rsidR="00F902C9" w:rsidRPr="00F902C9" w:rsidRDefault="00F902C9" w:rsidP="00F9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Low hallucination: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Achieved via strict RAG constraints and system prompts.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" w:name="_Toc215429021"/>
      <w:r w:rsidRPr="00F902C9">
        <w:rPr>
          <w:rFonts w:ascii="Times New Roman" w:eastAsia="Times New Roman" w:hAnsi="Times New Roman" w:cs="Times New Roman"/>
          <w:b/>
          <w:bCs/>
          <w:sz w:val="36"/>
          <w:szCs w:val="36"/>
        </w:rPr>
        <w:t>2. Data Source</w:t>
      </w:r>
      <w:bookmarkEnd w:id="5"/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6" w:name="_Toc215429022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2.1 Kaggle Dataset</w:t>
      </w:r>
      <w:bookmarkEnd w:id="6"/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The primary knowledge base for the Med-RAG system is a publicly available dataset:</w:t>
      </w:r>
    </w:p>
    <w:p w:rsidR="00F902C9" w:rsidRPr="00F902C9" w:rsidRDefault="00F902C9" w:rsidP="00F90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blank" w:history="1">
        <w:r w:rsidRPr="00F90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https://kaggle.com/datasets/ilyasfaruqui208/medicine-datasets-</w:t>
        </w:r>
      </w:hyperlink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The dataset includes structured medicine information aggregated from public sources and reference data, providing a vast and diverse foundation for the knowledge graph.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7" w:name="_Toc215429023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2.2 Dataset Columns (9 fields)</w:t>
      </w:r>
      <w:bookmarkEnd w:id="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4414"/>
      </w:tblGrid>
      <w:tr w:rsidR="00F902C9" w:rsidRPr="00F902C9" w:rsidTr="00C72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Drug_Name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Primary trade / generic name.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Pharmaceutical producer.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Ingredients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Active substances &amp; key formulation details.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Description/Usage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Purpose, indications, medical use.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Side_Effects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Known adverse reactions.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Cost estimate.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Drug class (NSAID, antibiotic, etc.).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Dosage_Form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Tablet, capsule, injection, gel, etc.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drug_interactions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The system merges multiple columns into semantic chunks for better retrieval and contextual coverage, which is key to answering complex questions.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8" w:name="_Toc215429024"/>
      <w:r w:rsidRPr="00F902C9">
        <w:rPr>
          <w:rFonts w:ascii="Times New Roman" w:eastAsia="Times New Roman" w:hAnsi="Times New Roman" w:cs="Times New Roman"/>
          <w:b/>
          <w:bCs/>
          <w:sz w:val="36"/>
          <w:szCs w:val="36"/>
        </w:rPr>
        <w:t>3. Architecture Overview</w:t>
      </w:r>
      <w:bookmarkEnd w:id="8"/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9" w:name="_Toc215429025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Standard RAG Workflow</w:t>
      </w:r>
      <w:bookmarkEnd w:id="9"/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The system operates using a two-phase RAG workflow:</w:t>
      </w:r>
    </w:p>
    <w:p w:rsidR="00F902C9" w:rsidRPr="00F902C9" w:rsidRDefault="00F902C9" w:rsidP="00F90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87630</wp:posOffset>
                </wp:positionV>
                <wp:extent cx="175260" cy="45719"/>
                <wp:effectExtent l="0" t="19050" r="34290" b="31115"/>
                <wp:wrapNone/>
                <wp:docPr id="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F3F62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0;margin-top:6.9pt;width:13.8pt;height:3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" adj="18783" fillcolor="#4472c4 [3204]" strokecolor="#1f3763 [1604]" strokeweight="1pt">
                <w10:wrap anchorx="margin"/>
              </v:shape>
            </w:pict>
          </mc:Fallback>
        </mc:AlternateConten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>Dataset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>Cleaning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>​Chunking​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gramStart"/>
      <w:r w:rsidRPr="00F902C9">
        <w:rPr>
          <w:rFonts w:ascii="Times New Roman" w:eastAsia="Times New Roman" w:hAnsi="Times New Roman" w:cs="Times New Roman"/>
          <w:sz w:val="24"/>
          <w:szCs w:val="24"/>
        </w:rPr>
        <w:t>Embedding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>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>Vector DB</w:t>
      </w:r>
    </w:p>
    <w:p w:rsidR="00F902C9" w:rsidRPr="00F902C9" w:rsidRDefault="00F902C9" w:rsidP="00F90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CA4843" wp14:editId="2F42F2B4">
                <wp:simplePos x="0" y="0"/>
                <wp:positionH relativeFrom="margin">
                  <wp:posOffset>3337560</wp:posOffset>
                </wp:positionH>
                <wp:positionV relativeFrom="paragraph">
                  <wp:posOffset>80010</wp:posOffset>
                </wp:positionV>
                <wp:extent cx="175260" cy="45719"/>
                <wp:effectExtent l="0" t="19050" r="34290" b="31115"/>
                <wp:wrapNone/>
                <wp:docPr id="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2DB89" id="Arrow: Right 2" o:spid="_x0000_s1026" type="#_x0000_t13" style="position:absolute;margin-left:262.8pt;margin-top:6.3pt;width:13.8pt;height:3.6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" adj="18783" fillcolor="#4472c4 [3204]" strokecolor="#1f3763 [1604]" strokeweight="1pt">
                <w10:wrap anchorx="margin"/>
              </v:shape>
            </w:pict>
          </mc:Fallback>
        </mc:AlternateConten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>User Query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>Query Embedding​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>Retrieval + Prompt​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      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>LLM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>Response​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0" w:name="_Toc215429026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Core Components</w:t>
      </w:r>
      <w:bookmarkEnd w:id="1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6060"/>
      </w:tblGrid>
      <w:tr w:rsidR="00F902C9" w:rsidRPr="00F902C9" w:rsidTr="00C72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Embedding Model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text to dense vectors for semantic search.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Stores embeddings and the original text metadata.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 Orchestrator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Retrieves, filters, ranks context, and injects it into the prompt.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Produces a final, context-aware, and natural-language answer.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Handles the API, chatbot UI, logging, and input validation.</w:t>
            </w:r>
          </w:p>
        </w:tc>
      </w:tr>
    </w:tbl>
    <w:p w:rsidR="00F902C9" w:rsidRPr="00F902C9" w:rsidRDefault="00F902C9" w:rsidP="00F90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1" w:name="_Toc215429027"/>
      <w:r w:rsidRPr="00F902C9">
        <w:rPr>
          <w:rFonts w:ascii="Times New Roman" w:eastAsia="Times New Roman" w:hAnsi="Times New Roman" w:cs="Times New Roman"/>
          <w:b/>
          <w:bCs/>
          <w:sz w:val="36"/>
          <w:szCs w:val="36"/>
        </w:rPr>
        <w:t>4. Pipeline Details</w:t>
      </w:r>
      <w:bookmarkEnd w:id="11"/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2" w:name="_Toc215429028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4.1 Preprocessing</w:t>
      </w:r>
      <w:bookmarkEnd w:id="12"/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The raw data requires rigorous cleaning to ensure vector quality and retrieval accuracy.</w:t>
      </w:r>
    </w:p>
    <w:p w:rsidR="00F902C9" w:rsidRPr="00F902C9" w:rsidRDefault="00F902C9" w:rsidP="00F90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Normalize case: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Ensure all text is consistently lowercased.</w:t>
      </w:r>
    </w:p>
    <w:p w:rsidR="00F902C9" w:rsidRPr="00F902C9" w:rsidRDefault="00F902C9" w:rsidP="00F90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Handle Empty Data: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Remove empty or corrupted rows, or convert unknown/missing fields to a standard value (e.g., "Not specified").</w:t>
      </w:r>
    </w:p>
    <w:p w:rsidR="00F902C9" w:rsidRPr="00F902C9" w:rsidRDefault="00F902C9" w:rsidP="00F90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Remove Duplicates: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Deduplicate entries, often by combining </w:t>
      </w:r>
      <w:proofErr w:type="spellStart"/>
      <w:r w:rsidRPr="00F902C9">
        <w:rPr>
          <w:rFonts w:ascii="Courier New" w:eastAsia="Times New Roman" w:hAnsi="Courier New" w:cs="Courier New"/>
          <w:sz w:val="20"/>
          <w:szCs w:val="20"/>
        </w:rPr>
        <w:t>Drug_Name</w:t>
      </w:r>
      <w:proofErr w:type="spellEnd"/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902C9">
        <w:rPr>
          <w:rFonts w:ascii="Courier New" w:eastAsia="Times New Roman" w:hAnsi="Courier New" w:cs="Courier New"/>
          <w:sz w:val="20"/>
          <w:szCs w:val="20"/>
        </w:rPr>
        <w:t>Manufacturer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to handle multi-entry collisions.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3" w:name="_Toc215429029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4.2 Chunking Strategy</w:t>
      </w:r>
      <w:bookmarkEnd w:id="13"/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The goal of chunking is to maximize domain context per vector while staying within the LLM's context window limits.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</w:p>
    <w:p w:rsidR="00F902C9" w:rsidRPr="00F902C9" w:rsidRDefault="00F902C9" w:rsidP="00F90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Field Merging: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Key fields are concatenated into a single text block (e.g., Name + Ingredients + Usage + Side Effects).</w:t>
      </w:r>
    </w:p>
    <w:p w:rsidR="00F902C9" w:rsidRPr="00F902C9" w:rsidRDefault="00F902C9" w:rsidP="00F90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Chunk Window: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Target size between </w:t>
      </w: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400–1200 tokens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per chunk.</w:t>
      </w:r>
    </w:p>
    <w:p w:rsidR="00F902C9" w:rsidRPr="00F902C9" w:rsidRDefault="00F902C9" w:rsidP="00F90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Context Grouping: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Ensure medically relevant and dependent context remains together.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Chunk Document</w:t>
      </w:r>
    </w:p>
    <w:p w:rsidR="00F902C9" w:rsidRPr="00F902C9" w:rsidRDefault="00F902C9" w:rsidP="00F902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i/>
          <w:iCs/>
          <w:sz w:val="24"/>
          <w:szCs w:val="24"/>
        </w:rPr>
        <w:t>[Medicine: Aspirin 100mg] Uses: Analgesic / Antiplatelet Manufacturer: Pfizer Side effects: GI bleeding, tinnitus Alternatives: Clopidogrel, naproxen</w:t>
      </w:r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Metadata Attachments: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The following fields are attached to the vector for filtering and reference: </w:t>
      </w:r>
      <w:proofErr w:type="spellStart"/>
      <w:r w:rsidRPr="00F902C9">
        <w:rPr>
          <w:rFonts w:ascii="Courier New" w:eastAsia="Times New Roman" w:hAnsi="Courier New" w:cs="Courier New"/>
          <w:sz w:val="20"/>
          <w:szCs w:val="20"/>
        </w:rPr>
        <w:t>drug_name</w:t>
      </w:r>
      <w:proofErr w:type="spellEnd"/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02C9">
        <w:rPr>
          <w:rFonts w:ascii="Courier New" w:eastAsia="Times New Roman" w:hAnsi="Courier New" w:cs="Courier New"/>
          <w:sz w:val="20"/>
          <w:szCs w:val="20"/>
        </w:rPr>
        <w:t>chunk_id</w:t>
      </w:r>
      <w:proofErr w:type="spellEnd"/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02C9">
        <w:rPr>
          <w:rFonts w:ascii="Courier New" w:eastAsia="Times New Roman" w:hAnsi="Courier New" w:cs="Courier New"/>
          <w:sz w:val="20"/>
          <w:szCs w:val="20"/>
        </w:rPr>
        <w:t>manufacturer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02C9">
        <w:rPr>
          <w:rFonts w:ascii="Courier New" w:eastAsia="Times New Roman" w:hAnsi="Courier New" w:cs="Courier New"/>
          <w:sz w:val="20"/>
          <w:szCs w:val="20"/>
        </w:rPr>
        <w:t>category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4" w:name="_Toc215429030"/>
      <w:r w:rsidRPr="00F902C9">
        <w:rPr>
          <w:rFonts w:ascii="Times New Roman" w:eastAsia="Times New Roman" w:hAnsi="Times New Roman" w:cs="Times New Roman"/>
          <w:b/>
          <w:bCs/>
          <w:sz w:val="36"/>
          <w:szCs w:val="36"/>
        </w:rPr>
        <w:t>5. Embeddings</w:t>
      </w:r>
      <w:bookmarkEnd w:id="14"/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5" w:name="_Toc215429031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Model Choice</w:t>
      </w:r>
      <w:bookmarkEnd w:id="15"/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The system is designed to use high-performing, domain-agnostic embedding models.</w:t>
      </w:r>
    </w:p>
    <w:p w:rsidR="00F902C9" w:rsidRPr="00F902C9" w:rsidRDefault="00F902C9" w:rsidP="00F90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Model Options: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A Sentence Transformer (e.g., BGE) or commercial </w:t>
      </w:r>
      <w:proofErr w:type="spellStart"/>
      <w:r w:rsidRPr="00F902C9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embeddings.</w:t>
      </w:r>
    </w:p>
    <w:p w:rsidR="00F902C9" w:rsidRPr="00F902C9" w:rsidRDefault="00F902C9" w:rsidP="00F90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Typical Specs:</w:t>
      </w:r>
    </w:p>
    <w:p w:rsidR="00F902C9" w:rsidRPr="00F902C9" w:rsidRDefault="00F902C9" w:rsidP="00F902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Vector dimension: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768–1536.</w:t>
      </w:r>
    </w:p>
    <w:p w:rsidR="00F902C9" w:rsidRPr="00F902C9" w:rsidRDefault="00F902C9" w:rsidP="00F902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Optimized for </w:t>
      </w: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cosine distance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calculation.</w:t>
      </w:r>
    </w:p>
    <w:p w:rsidR="00F902C9" w:rsidRPr="00F902C9" w:rsidRDefault="00F902C9" w:rsidP="00F902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Inference: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Low memory footprint and fast inference time are prioritized.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Inputs: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The raw chunk text is transformed into the dense embedding vector.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6" w:name="_Toc215429032"/>
      <w:r w:rsidRPr="00F902C9">
        <w:rPr>
          <w:rFonts w:ascii="Times New Roman" w:eastAsia="Times New Roman" w:hAnsi="Times New Roman" w:cs="Times New Roman"/>
          <w:b/>
          <w:bCs/>
          <w:sz w:val="36"/>
          <w:szCs w:val="36"/>
        </w:rPr>
        <w:t>6. Vector Database</w:t>
      </w:r>
      <w:bookmarkEnd w:id="16"/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The Vector Database is the highly efficient knowledge store for the RAG system.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7" w:name="_Toc215429033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Storage</w:t>
      </w:r>
      <w:bookmarkEnd w:id="17"/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The VDB stores the following key elements:</w:t>
      </w:r>
    </w:p>
    <w:p w:rsidR="00F902C9" w:rsidRPr="00F902C9" w:rsidRDefault="00F902C9" w:rsidP="00F90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high-dimensional </w:t>
      </w: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 vectors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2C9" w:rsidRPr="00F902C9" w:rsidRDefault="00F902C9" w:rsidP="00F90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The original </w:t>
      </w: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metadata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F902C9">
        <w:rPr>
          <w:rFonts w:ascii="Courier New" w:eastAsia="Times New Roman" w:hAnsi="Courier New" w:cs="Courier New"/>
          <w:sz w:val="20"/>
          <w:szCs w:val="20"/>
        </w:rPr>
        <w:t>drug_name</w:t>
      </w:r>
      <w:proofErr w:type="spellEnd"/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02C9">
        <w:rPr>
          <w:rFonts w:ascii="Courier New" w:eastAsia="Times New Roman" w:hAnsi="Courier New" w:cs="Courier New"/>
          <w:sz w:val="20"/>
          <w:szCs w:val="20"/>
        </w:rPr>
        <w:t>manufacturer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02C9">
        <w:rPr>
          <w:rFonts w:ascii="Courier New" w:eastAsia="Times New Roman" w:hAnsi="Courier New" w:cs="Courier New"/>
          <w:sz w:val="20"/>
          <w:szCs w:val="20"/>
        </w:rPr>
        <w:t>chunk_id</w:t>
      </w:r>
      <w:proofErr w:type="spellEnd"/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02C9">
        <w:rPr>
          <w:rFonts w:ascii="Courier New" w:eastAsia="Times New Roman" w:hAnsi="Courier New" w:cs="Courier New"/>
          <w:sz w:val="20"/>
          <w:szCs w:val="20"/>
        </w:rPr>
        <w:t>category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Record:</w:t>
      </w:r>
    </w:p>
    <w:p w:rsidR="00F902C9" w:rsidRPr="00F902C9" w:rsidRDefault="00F902C9" w:rsidP="00F90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F902C9" w:rsidRPr="00F902C9" w:rsidRDefault="00F902C9" w:rsidP="00F90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2C9">
        <w:rPr>
          <w:rFonts w:ascii="Courier New" w:eastAsia="Times New Roman" w:hAnsi="Courier New" w:cs="Courier New"/>
          <w:sz w:val="20"/>
          <w:szCs w:val="20"/>
        </w:rPr>
        <w:t>{</w:t>
      </w:r>
    </w:p>
    <w:p w:rsidR="00F902C9" w:rsidRPr="00F902C9" w:rsidRDefault="00F902C9" w:rsidP="00F90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2C9">
        <w:rPr>
          <w:rFonts w:ascii="Courier New" w:eastAsia="Times New Roman" w:hAnsi="Courier New" w:cs="Courier New"/>
          <w:sz w:val="20"/>
          <w:szCs w:val="20"/>
        </w:rPr>
        <w:t xml:space="preserve">  "id": "ibuprofen_500_#12",</w:t>
      </w:r>
    </w:p>
    <w:p w:rsidR="00F902C9" w:rsidRPr="00F902C9" w:rsidRDefault="00F902C9" w:rsidP="00F90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2C9">
        <w:rPr>
          <w:rFonts w:ascii="Courier New" w:eastAsia="Times New Roman" w:hAnsi="Courier New" w:cs="Courier New"/>
          <w:sz w:val="20"/>
          <w:szCs w:val="20"/>
        </w:rPr>
        <w:t xml:space="preserve">  "embedding": [0.11, -0.22, ...],</w:t>
      </w:r>
    </w:p>
    <w:p w:rsidR="00F902C9" w:rsidRPr="00F902C9" w:rsidRDefault="00F902C9" w:rsidP="00F90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2C9">
        <w:rPr>
          <w:rFonts w:ascii="Courier New" w:eastAsia="Times New Roman" w:hAnsi="Courier New" w:cs="Courier New"/>
          <w:sz w:val="20"/>
          <w:szCs w:val="20"/>
        </w:rPr>
        <w:t xml:space="preserve">  "metadata": {</w:t>
      </w:r>
    </w:p>
    <w:p w:rsidR="00F902C9" w:rsidRPr="00F902C9" w:rsidRDefault="00F902C9" w:rsidP="00F90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2C9">
        <w:rPr>
          <w:rFonts w:ascii="Courier New" w:eastAsia="Times New Roman" w:hAnsi="Courier New" w:cs="Courier New"/>
          <w:sz w:val="20"/>
          <w:szCs w:val="20"/>
        </w:rPr>
        <w:t xml:space="preserve">    "name": "Ibuprofen",</w:t>
      </w:r>
    </w:p>
    <w:p w:rsidR="00F902C9" w:rsidRPr="00F902C9" w:rsidRDefault="00F902C9" w:rsidP="00F90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2C9">
        <w:rPr>
          <w:rFonts w:ascii="Courier New" w:eastAsia="Times New Roman" w:hAnsi="Courier New" w:cs="Courier New"/>
          <w:sz w:val="20"/>
          <w:szCs w:val="20"/>
        </w:rPr>
        <w:t xml:space="preserve">    "manufacturer": "Abbott",</w:t>
      </w:r>
    </w:p>
    <w:p w:rsidR="00F902C9" w:rsidRPr="00F902C9" w:rsidRDefault="00F902C9" w:rsidP="00F90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2C9">
        <w:rPr>
          <w:rFonts w:ascii="Courier New" w:eastAsia="Times New Roman" w:hAnsi="Courier New" w:cs="Courier New"/>
          <w:sz w:val="20"/>
          <w:szCs w:val="20"/>
        </w:rPr>
        <w:t xml:space="preserve">    "category": "NSAID"</w:t>
      </w:r>
    </w:p>
    <w:p w:rsidR="00F902C9" w:rsidRPr="00F902C9" w:rsidRDefault="00F902C9" w:rsidP="00F90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2C9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F902C9" w:rsidRPr="00F902C9" w:rsidRDefault="00F902C9" w:rsidP="00F90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2C9">
        <w:rPr>
          <w:rFonts w:ascii="Courier New" w:eastAsia="Times New Roman" w:hAnsi="Courier New" w:cs="Courier New"/>
          <w:sz w:val="20"/>
          <w:szCs w:val="20"/>
        </w:rPr>
        <w:t>}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8" w:name="_Toc215429034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Index</w:t>
      </w:r>
      <w:bookmarkEnd w:id="18"/>
    </w:p>
    <w:p w:rsidR="00F902C9" w:rsidRPr="00F902C9" w:rsidRDefault="00F902C9" w:rsidP="00F90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Similarity Metric: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Cosine similarity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is used for measuring semantic closeness.</w:t>
      </w:r>
    </w:p>
    <w:p w:rsidR="00F902C9" w:rsidRPr="00F902C9" w:rsidRDefault="00F902C9" w:rsidP="00F90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Top-K Retrieval: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A fixed number of relevant chunks is retrieved, typically </w:t>
      </w: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K = 3–10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>. A fixed K value helps ensure consistent latency during deployment.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9" w:name="_Toc215429035"/>
      <w:r w:rsidRPr="00F902C9">
        <w:rPr>
          <w:rFonts w:ascii="Times New Roman" w:eastAsia="Times New Roman" w:hAnsi="Times New Roman" w:cs="Times New Roman"/>
          <w:b/>
          <w:bCs/>
          <w:sz w:val="36"/>
          <w:szCs w:val="36"/>
        </w:rPr>
        <w:t>7. Query Processing</w:t>
      </w:r>
      <w:bookmarkEnd w:id="19"/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The query processing outlines the steps from user input to the final generated response.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F902C9" w:rsidRPr="00F902C9" w:rsidRDefault="00F902C9" w:rsidP="00F90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User enters a natural-language medical question.</w:t>
      </w:r>
    </w:p>
    <w:p w:rsidR="00F902C9" w:rsidRPr="00F902C9" w:rsidRDefault="00F902C9" w:rsidP="00F90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The question is converted to an </w:t>
      </w: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 vector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(using the same model as ingestion).</w:t>
      </w:r>
    </w:p>
    <w:p w:rsidR="00F902C9" w:rsidRPr="00F902C9" w:rsidRDefault="00F902C9" w:rsidP="00F90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The vector is used to search the VDB via similarity search.</w:t>
      </w:r>
    </w:p>
    <w:p w:rsidR="00F902C9" w:rsidRPr="00F902C9" w:rsidRDefault="00F902C9" w:rsidP="00F90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Top-K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most relevant medicine contexts are retrieved.</w:t>
      </w:r>
    </w:p>
    <w:p w:rsidR="00F902C9" w:rsidRPr="00F902C9" w:rsidRDefault="00F902C9" w:rsidP="00F90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The retrieved context is injected into a specific medical RAG template.</w:t>
      </w:r>
    </w:p>
    <w:p w:rsidR="00F902C9" w:rsidRPr="00F902C9" w:rsidRDefault="00F902C9" w:rsidP="00F90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LLM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processes the prompt and produces the final answer.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F902C9" w:rsidRPr="00F902C9" w:rsidRDefault="00F902C9" w:rsidP="00F90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02C9">
        <w:rPr>
          <w:rFonts w:ascii="Times New Roman" w:eastAsia="Times New Roman" w:hAnsi="Times New Roman" w:cs="Times New Roman"/>
          <w:i/>
          <w:iCs/>
          <w:sz w:val="24"/>
          <w:szCs w:val="24"/>
        </w:rPr>
        <w:t>What are alternatives to Omeprazole?</w:t>
      </w:r>
    </w:p>
    <w:p w:rsidR="00F902C9" w:rsidRPr="00F902C9" w:rsidRDefault="00F902C9" w:rsidP="00F90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Query is encoded → Retrieve 5 relevant medication chunks → RAG prompt is constructed → LLM generates the final answer grounded in the retrieved data.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0" w:name="_Toc215429036"/>
      <w:r w:rsidRPr="00F902C9">
        <w:rPr>
          <w:rFonts w:ascii="Times New Roman" w:eastAsia="Times New Roman" w:hAnsi="Times New Roman" w:cs="Times New Roman"/>
          <w:b/>
          <w:bCs/>
          <w:sz w:val="36"/>
          <w:szCs w:val="36"/>
        </w:rPr>
        <w:t>8. Prompt Engineering</w:t>
      </w:r>
      <w:bookmarkEnd w:id="20"/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Effective prompt engineering is essential to constrain the LLM and ensure safety and accuracy.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1" w:name="_Toc215429037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System Prompt Template</w:t>
      </w:r>
      <w:bookmarkEnd w:id="21"/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lastRenderedPageBreak/>
        <w:t>The LLM is given a specific persona and strict rules:</w:t>
      </w:r>
    </w:p>
    <w:p w:rsidR="00F902C9" w:rsidRPr="00F902C9" w:rsidRDefault="00F902C9" w:rsidP="00F902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i/>
          <w:iCs/>
          <w:sz w:val="24"/>
          <w:szCs w:val="24"/>
        </w:rPr>
        <w:t>You are a medical assistant AI.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02C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Use </w:t>
      </w:r>
      <w:r w:rsidRPr="00F902C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ONLY</w:t>
      </w:r>
      <w:r w:rsidRPr="00F902C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the provided medicine dataset to answer. Do not invent information.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02C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If the requested information does not exist in the retrieved context, respond: </w:t>
      </w:r>
      <w:r w:rsidRPr="00F902C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“Not in database.”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02C9">
        <w:rPr>
          <w:rFonts w:ascii="Times New Roman" w:eastAsia="Times New Roman" w:hAnsi="Times New Roman" w:cs="Times New Roman"/>
          <w:i/>
          <w:iCs/>
          <w:sz w:val="24"/>
          <w:szCs w:val="24"/>
        </w:rPr>
        <w:t>Provide clear, patient-friendly medical explanations.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2" w:name="_Toc215429038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Context Window Template</w:t>
      </w:r>
      <w:bookmarkEnd w:id="22"/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The retrieved context is prioritized and placed strategically in the prompt:</w:t>
      </w:r>
    </w:p>
    <w:p w:rsidR="00F902C9" w:rsidRPr="00F902C9" w:rsidRDefault="00F902C9" w:rsidP="00F90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F902C9" w:rsidRPr="00F902C9" w:rsidRDefault="00F902C9" w:rsidP="00F90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2C9">
        <w:rPr>
          <w:rFonts w:ascii="Courier New" w:eastAsia="Times New Roman" w:hAnsi="Courier New" w:cs="Courier New"/>
          <w:sz w:val="20"/>
          <w:szCs w:val="20"/>
        </w:rPr>
        <w:t>&lt;&lt;retrieved chunks&gt;&gt;</w:t>
      </w:r>
    </w:p>
    <w:p w:rsidR="00F902C9" w:rsidRPr="00F902C9" w:rsidRDefault="00F902C9" w:rsidP="00F90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02C9" w:rsidRPr="00F902C9" w:rsidRDefault="00F902C9" w:rsidP="00F90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2C9">
        <w:rPr>
          <w:rFonts w:ascii="Courier New" w:eastAsia="Times New Roman" w:hAnsi="Courier New" w:cs="Courier New"/>
          <w:sz w:val="20"/>
          <w:szCs w:val="20"/>
        </w:rPr>
        <w:t>User: {question}</w:t>
      </w:r>
    </w:p>
    <w:p w:rsidR="00F902C9" w:rsidRPr="00F902C9" w:rsidRDefault="00F902C9" w:rsidP="00F90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02C9" w:rsidRPr="00F902C9" w:rsidRDefault="00F902C9" w:rsidP="00F90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2C9">
        <w:rPr>
          <w:rFonts w:ascii="Courier New" w:eastAsia="Times New Roman" w:hAnsi="Courier New" w:cs="Courier New"/>
          <w:sz w:val="20"/>
          <w:szCs w:val="20"/>
        </w:rPr>
        <w:t>Answer: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3" w:name="_Toc215429039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Output Rules</w:t>
      </w:r>
      <w:bookmarkEnd w:id="23"/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The LLM is instructed to:</w:t>
      </w:r>
    </w:p>
    <w:p w:rsidR="00F902C9" w:rsidRPr="00F902C9" w:rsidRDefault="00F902C9" w:rsidP="00F90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List known alternatives.</w:t>
      </w:r>
    </w:p>
    <w:p w:rsidR="00F902C9" w:rsidRPr="00F902C9" w:rsidRDefault="00F902C9" w:rsidP="00F90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Provide manufacturer names.</w:t>
      </w:r>
    </w:p>
    <w:p w:rsidR="00F902C9" w:rsidRPr="00F902C9" w:rsidRDefault="00F902C9" w:rsidP="00F90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Explain side effects using plain, accessible language.</w:t>
      </w:r>
    </w:p>
    <w:p w:rsidR="00F902C9" w:rsidRPr="00F902C9" w:rsidRDefault="00F902C9" w:rsidP="00F90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Strictly Avoid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generating diagnosis or prescriptions.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4" w:name="_Toc215429040"/>
      <w:r w:rsidRPr="00F902C9">
        <w:rPr>
          <w:rFonts w:ascii="Times New Roman" w:eastAsia="Times New Roman" w:hAnsi="Times New Roman" w:cs="Times New Roman"/>
          <w:b/>
          <w:bCs/>
          <w:sz w:val="36"/>
          <w:szCs w:val="36"/>
        </w:rPr>
        <w:t>9. Safety Rules</w:t>
      </w:r>
      <w:bookmarkEnd w:id="24"/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Non-negotiable safeguards are implemented to protect users and ensure responsible system use.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4451"/>
        <w:gridCol w:w="3977"/>
      </w:tblGrid>
      <w:tr w:rsidR="00F902C9" w:rsidRPr="00F902C9" w:rsidTr="00C72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Action on Violation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No hallucination (must be factually grounded).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Respond: "Not in database."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No medical treatment advice or prescribing.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Respond with disclaimer and a referral.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No lethal dose or emergency diagnosis advice.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Respond with emergency service referral.</w:t>
            </w:r>
          </w:p>
        </w:tc>
      </w:tr>
      <w:tr w:rsidR="00F902C9" w:rsidRPr="00F902C9" w:rsidTr="00C7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If information is uncertain.</w:t>
            </w:r>
          </w:p>
        </w:tc>
        <w:tc>
          <w:tcPr>
            <w:tcW w:w="0" w:type="auto"/>
            <w:vAlign w:val="center"/>
            <w:hideMark/>
          </w:tcPr>
          <w:p w:rsidR="00F902C9" w:rsidRPr="00F902C9" w:rsidRDefault="00F902C9" w:rsidP="00F9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2C9">
              <w:rPr>
                <w:rFonts w:ascii="Times New Roman" w:eastAsia="Times New Roman" w:hAnsi="Times New Roman" w:cs="Times New Roman"/>
                <w:sz w:val="24"/>
                <w:szCs w:val="24"/>
              </w:rPr>
              <w:t>Respond: "Not in database."</w:t>
            </w:r>
          </w:p>
        </w:tc>
      </w:tr>
    </w:tbl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5" w:name="_Toc215429041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System Disclaimer</w:t>
      </w:r>
      <w:bookmarkEnd w:id="25"/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A mandatory disclaimer must accompany all outputs:</w:t>
      </w:r>
    </w:p>
    <w:p w:rsidR="00F902C9" w:rsidRPr="00F902C9" w:rsidRDefault="00F902C9" w:rsidP="00F902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This system is not a doctor. Always consult a licensed healthcare provider for medical advice, diagnosis, or treatment.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6" w:name="_Toc215429042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Optional Enhancements</w:t>
      </w:r>
      <w:bookmarkEnd w:id="26"/>
    </w:p>
    <w:p w:rsidR="00F902C9" w:rsidRPr="00F902C9" w:rsidRDefault="00F902C9" w:rsidP="00F90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Confidence scoring for each generated fact.</w:t>
      </w:r>
    </w:p>
    <w:p w:rsidR="00F902C9" w:rsidRPr="00F902C9" w:rsidRDefault="00F902C9" w:rsidP="00F90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Citation display linking facts back to the specific dataset chunk.</w:t>
      </w:r>
    </w:p>
    <w:p w:rsidR="00F902C9" w:rsidRPr="00F902C9" w:rsidRDefault="00F902C9" w:rsidP="00F90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Integration of regulatory flags (FDA / EU categories) in metadata.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7" w:name="_Toc215429043"/>
      <w:r w:rsidRPr="00F902C9">
        <w:rPr>
          <w:rFonts w:ascii="Times New Roman" w:eastAsia="Times New Roman" w:hAnsi="Times New Roman" w:cs="Times New Roman"/>
          <w:b/>
          <w:bCs/>
          <w:sz w:val="36"/>
          <w:szCs w:val="36"/>
        </w:rPr>
        <w:t>10. Deployment Strategy</w:t>
      </w:r>
      <w:bookmarkEnd w:id="27"/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8" w:name="_Toc215429044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Offline Phase</w:t>
      </w:r>
      <w:bookmarkEnd w:id="28"/>
    </w:p>
    <w:p w:rsidR="00F902C9" w:rsidRPr="00F902C9" w:rsidRDefault="00F902C9" w:rsidP="00F90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The entire 200k+ dataset is embedded </w:t>
      </w: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2C9" w:rsidRPr="00F902C9" w:rsidRDefault="00F902C9" w:rsidP="00F90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Vectors are stored in a persistent Vector Database (VDB).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9" w:name="_Toc215429045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Ingestion Phase</w:t>
      </w:r>
      <w:bookmarkEnd w:id="29"/>
    </w:p>
    <w:p w:rsidR="00F902C9" w:rsidRPr="00F902C9" w:rsidRDefault="00F902C9" w:rsidP="00F90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Handles </w:t>
      </w: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Incremental Embedding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for new medicines or updated batches of data.</w:t>
      </w:r>
    </w:p>
    <w:p w:rsidR="00F902C9" w:rsidRPr="00F902C9" w:rsidRDefault="00F902C9" w:rsidP="00F90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Process includes updating or re-indexing outdated entries.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0" w:name="_Toc215429046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Online Serving</w:t>
      </w:r>
      <w:bookmarkEnd w:id="30"/>
    </w:p>
    <w:p w:rsidR="00F902C9" w:rsidRPr="00F902C9" w:rsidRDefault="00F902C9" w:rsidP="00F90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 API: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A high-speed API is exposed, typically using </w:t>
      </w:r>
      <w:proofErr w:type="spellStart"/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F90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2C9" w:rsidRPr="00F902C9" w:rsidRDefault="00F902C9" w:rsidP="00F902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Endpoints: </w:t>
      </w:r>
      <w:r w:rsidRPr="00F902C9">
        <w:rPr>
          <w:rFonts w:ascii="Courier New" w:eastAsia="Times New Roman" w:hAnsi="Courier New" w:cs="Courier New"/>
          <w:sz w:val="20"/>
          <w:szCs w:val="20"/>
        </w:rPr>
        <w:t>/query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(main RAG endpoint), </w:t>
      </w:r>
      <w:r w:rsidRPr="00F902C9">
        <w:rPr>
          <w:rFonts w:ascii="Courier New" w:eastAsia="Times New Roman" w:hAnsi="Courier New" w:cs="Courier New"/>
          <w:sz w:val="20"/>
          <w:szCs w:val="20"/>
        </w:rPr>
        <w:t>/medicine/{name}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(direct metadata lookup).</w:t>
      </w:r>
    </w:p>
    <w:p w:rsidR="00F902C9" w:rsidRPr="00F902C9" w:rsidRDefault="00F902C9" w:rsidP="00F90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Vector Store Scaling: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Deployment must support horizontal scaling of the VDB.</w:t>
      </w:r>
    </w:p>
    <w:p w:rsidR="00F902C9" w:rsidRPr="00F902C9" w:rsidRDefault="00F902C9" w:rsidP="00F90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Memory Cache: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Implement a cache for "hot" or frequently searched medicines to minimize latency.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1" w:name="_Toc215429047"/>
      <w:r w:rsidRPr="00F902C9">
        <w:rPr>
          <w:rFonts w:ascii="Times New Roman" w:eastAsia="Times New Roman" w:hAnsi="Times New Roman" w:cs="Times New Roman"/>
          <w:b/>
          <w:bCs/>
          <w:sz w:val="27"/>
          <w:szCs w:val="27"/>
        </w:rPr>
        <w:t>User Interface (UI)</w:t>
      </w:r>
      <w:bookmarkEnd w:id="31"/>
    </w:p>
    <w:p w:rsidR="00F902C9" w:rsidRPr="00F902C9" w:rsidRDefault="00F902C9" w:rsidP="00F90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Minimal Interface: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Chatbot or search box with immediate results.</w:t>
      </w:r>
    </w:p>
    <w:p w:rsidR="00F902C9" w:rsidRPr="00F902C9" w:rsidRDefault="00F902C9" w:rsidP="00F90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Highlight retrieved segments in the output and display a clear reference: "source: dataset chunk reference."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2" w:name="_Toc215429048"/>
      <w:r w:rsidRPr="00F902C9">
        <w:rPr>
          <w:rFonts w:ascii="Times New Roman" w:eastAsia="Times New Roman" w:hAnsi="Times New Roman" w:cs="Times New Roman"/>
          <w:b/>
          <w:bCs/>
          <w:sz w:val="36"/>
          <w:szCs w:val="36"/>
        </w:rPr>
        <w:t>11. Performance Tips</w:t>
      </w:r>
      <w:bookmarkEnd w:id="32"/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To ensure a positive user experience, the system must prioritize speed.</w:t>
      </w:r>
    </w:p>
    <w:p w:rsidR="00F902C9" w:rsidRPr="00F902C9" w:rsidRDefault="00F902C9" w:rsidP="00F90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 Engine: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Utilize highly optimized libraries like </w:t>
      </w: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FAISS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Milvus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Qdrant</w:t>
      </w:r>
      <w:proofErr w:type="spellEnd"/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to achieve sub-millisecond retrieval times.</w:t>
      </w:r>
    </w:p>
    <w:p w:rsidR="00F902C9" w:rsidRPr="00F902C9" w:rsidRDefault="00F902C9" w:rsidP="00F90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Batch Processing: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Pre-compute embeddings for large datasets in batches during the ingestion phase.</w:t>
      </w:r>
    </w:p>
    <w:p w:rsidR="00F902C9" w:rsidRPr="00F902C9" w:rsidRDefault="00F902C9" w:rsidP="00F90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Deduping medicines minimizes semantic noise and improves the signal-to-noise ratio during vector search.</w:t>
      </w:r>
    </w:p>
    <w:p w:rsidR="00F902C9" w:rsidRPr="00F902C9" w:rsidRDefault="00F902C9" w:rsidP="00F90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Metadata Optimization: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Compress metadata keys to speed up the transfer and load time of retrieved documents.</w:t>
      </w:r>
    </w:p>
    <w:p w:rsidR="00F902C9" w:rsidRPr="00F902C9" w:rsidRDefault="00F902C9" w:rsidP="00F90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3" w:name="_Toc215429049"/>
      <w:r w:rsidRPr="00F902C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12. Future Extensions</w:t>
      </w:r>
      <w:bookmarkEnd w:id="33"/>
    </w:p>
    <w:p w:rsidR="00F902C9" w:rsidRPr="00F902C9" w:rsidRDefault="00F902C9" w:rsidP="00F9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sz w:val="24"/>
          <w:szCs w:val="24"/>
        </w:rPr>
        <w:t>The following are potential next steps for enhancing the Med-RAG system:</w:t>
      </w:r>
    </w:p>
    <w:p w:rsidR="00F902C9" w:rsidRPr="00F902C9" w:rsidRDefault="00F902C9" w:rsidP="00F90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Reranking with Cross-Encoder: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Using a smaller, more focused model to re-score the Top-K retrieved documents, improving relevance before generation.</w:t>
      </w:r>
    </w:p>
    <w:p w:rsidR="00F902C9" w:rsidRPr="00F902C9" w:rsidRDefault="00F902C9" w:rsidP="00F90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Side-Effect Correlation Model: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An auxiliary model to infer potential side-effect links or trends across drug categories.</w:t>
      </w:r>
    </w:p>
    <w:p w:rsidR="00F902C9" w:rsidRPr="00F902C9" w:rsidRDefault="00F902C9" w:rsidP="00F90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Drug–Drug Interaction Inference: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Leveraging the ingredient data to flag </w:t>
      </w:r>
      <w:proofErr w:type="gramStart"/>
      <w:r w:rsidRPr="00F902C9">
        <w:rPr>
          <w:rFonts w:ascii="Times New Roman" w:eastAsia="Times New Roman" w:hAnsi="Times New Roman" w:cs="Times New Roman"/>
          <w:sz w:val="24"/>
          <w:szCs w:val="24"/>
        </w:rPr>
        <w:t>potential</w:t>
      </w:r>
      <w:proofErr w:type="gramEnd"/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dangerous interactions.</w:t>
      </w:r>
    </w:p>
    <w:p w:rsidR="00F902C9" w:rsidRPr="00F902C9" w:rsidRDefault="00F902C9" w:rsidP="00F90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Multilingual Retrieval Layer: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Extending the system to understand and respond to queries in multiple languages.</w:t>
      </w:r>
    </w:p>
    <w:p w:rsidR="00F902C9" w:rsidRPr="00F902C9" w:rsidRDefault="00F902C9" w:rsidP="00F90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Voice Chatbot Interface: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Deploying a text-to-speech/speech-to-text interface for accessibility.</w:t>
      </w:r>
    </w:p>
    <w:p w:rsidR="00F902C9" w:rsidRDefault="00F902C9" w:rsidP="00F90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2C9">
        <w:rPr>
          <w:rFonts w:ascii="Times New Roman" w:eastAsia="Times New Roman" w:hAnsi="Times New Roman" w:cs="Times New Roman"/>
          <w:b/>
          <w:bCs/>
          <w:sz w:val="24"/>
          <w:szCs w:val="24"/>
        </w:rPr>
        <w:t>Provider Onboarding Portal:</w:t>
      </w:r>
      <w:r w:rsidRPr="00F902C9">
        <w:rPr>
          <w:rFonts w:ascii="Times New Roman" w:eastAsia="Times New Roman" w:hAnsi="Times New Roman" w:cs="Times New Roman"/>
          <w:sz w:val="24"/>
          <w:szCs w:val="24"/>
        </w:rPr>
        <w:t xml:space="preserve"> A specialized UI/API for healthcare providers with advanced filtering and search capabilities.</w:t>
      </w:r>
    </w:p>
    <w:p w:rsidR="00C80B84" w:rsidRDefault="00C80B84" w:rsidP="00C80B84">
      <w:pPr>
        <w:pStyle w:val="NormalWeb"/>
        <w:numPr>
          <w:ilvl w:val="0"/>
          <w:numId w:val="18"/>
        </w:numPr>
      </w:pPr>
      <w:r>
        <w:rPr>
          <w:b/>
          <w:bCs/>
        </w:rPr>
        <w:t>Multilingual Retrieval Layer (Arabic / English):</w:t>
      </w:r>
      <w:r>
        <w:t xml:space="preserve"> Extending the system's capability to understand and process queries and retrieve context in multiple languages, starting with Arabic and English.</w:t>
      </w:r>
    </w:p>
    <w:p w:rsidR="00C80B84" w:rsidRDefault="00C80B84" w:rsidP="00C80B84">
      <w:pPr>
        <w:pStyle w:val="NormalWeb"/>
        <w:numPr>
          <w:ilvl w:val="0"/>
          <w:numId w:val="18"/>
        </w:numPr>
      </w:pPr>
      <w:r>
        <w:rPr>
          <w:b/>
          <w:bCs/>
        </w:rPr>
        <w:t>Local Drugs Database:</w:t>
      </w:r>
      <w:r>
        <w:t xml:space="preserve"> Integrating or cross-referencing against a database specific to local or regional pharmaceutical markets to provide location-aware information.</w:t>
      </w:r>
    </w:p>
    <w:p w:rsidR="00C80B84" w:rsidRDefault="00C80B84" w:rsidP="00C80B84">
      <w:pPr>
        <w:pStyle w:val="NormalWeb"/>
        <w:numPr>
          <w:ilvl w:val="0"/>
          <w:numId w:val="18"/>
        </w:numPr>
      </w:pPr>
      <w:r>
        <w:rPr>
          <w:b/>
          <w:bCs/>
        </w:rPr>
        <w:t>Clinical Trials Integration:</w:t>
      </w:r>
      <w:r>
        <w:t xml:space="preserve"> Linking drug information to relevant, current clinical trials data to provide the latest research context.</w:t>
      </w:r>
    </w:p>
    <w:p w:rsidR="00C80B84" w:rsidRDefault="00C80B84" w:rsidP="00C80B84">
      <w:pPr>
        <w:pStyle w:val="NormalWeb"/>
        <w:numPr>
          <w:ilvl w:val="0"/>
          <w:numId w:val="18"/>
        </w:numPr>
      </w:pPr>
      <w:r>
        <w:rPr>
          <w:b/>
          <w:bCs/>
        </w:rPr>
        <w:t>Doctor-only Extended Knowledge:</w:t>
      </w:r>
      <w:r>
        <w:t xml:space="preserve"> Developing a restricted access tier that provides more sensitive or complex information, such as </w:t>
      </w:r>
      <w:r>
        <w:rPr>
          <w:b/>
          <w:bCs/>
        </w:rPr>
        <w:t>specific dosages</w:t>
      </w:r>
      <w:r>
        <w:t xml:space="preserve"> and </w:t>
      </w:r>
      <w:r>
        <w:rPr>
          <w:b/>
          <w:bCs/>
        </w:rPr>
        <w:t>drug-drug interactions</w:t>
      </w:r>
      <w:r>
        <w:t>, separate from patient-facing responses.</w:t>
      </w:r>
    </w:p>
    <w:p w:rsidR="00C80B84" w:rsidRDefault="00C80B84" w:rsidP="00C80B84">
      <w:pPr>
        <w:pStyle w:val="Heading3"/>
      </w:pPr>
      <w:bookmarkStart w:id="34" w:name="_Toc215429050"/>
      <w:r>
        <w:t>Security &amp; User Experience</w:t>
      </w:r>
      <w:bookmarkEnd w:id="34"/>
    </w:p>
    <w:p w:rsidR="00C80B84" w:rsidRDefault="00C80B84" w:rsidP="00C80B84">
      <w:pPr>
        <w:pStyle w:val="NormalWeb"/>
        <w:numPr>
          <w:ilvl w:val="0"/>
          <w:numId w:val="19"/>
        </w:numPr>
      </w:pPr>
      <w:r>
        <w:rPr>
          <w:b/>
          <w:bCs/>
        </w:rPr>
        <w:t>User Authentication:</w:t>
      </w:r>
      <w:r>
        <w:t xml:space="preserve"> Implementing a secure authentication layer to manage different user roles (e.g., Doctors vs. Patients) and control access to extended knowledge.</w:t>
      </w:r>
    </w:p>
    <w:p w:rsidR="00C80B84" w:rsidRDefault="00C80B84" w:rsidP="00C80B84">
      <w:pPr>
        <w:pStyle w:val="NormalWeb"/>
        <w:numPr>
          <w:ilvl w:val="0"/>
          <w:numId w:val="19"/>
        </w:numPr>
      </w:pPr>
      <w:r>
        <w:rPr>
          <w:b/>
          <w:bCs/>
        </w:rPr>
        <w:t>Chat History Memory:</w:t>
      </w:r>
      <w:r>
        <w:t xml:space="preserve"> Integrating conversation memory (</w:t>
      </w:r>
      <w:proofErr w:type="spellStart"/>
      <w:r>
        <w:t>statefulness</w:t>
      </w:r>
      <w:proofErr w:type="spellEnd"/>
      <w:r>
        <w:t>) to allow users to ask follow-up questions without repeating context.</w:t>
      </w:r>
    </w:p>
    <w:p w:rsidR="00C80B84" w:rsidRDefault="00C80B84" w:rsidP="00C80B84">
      <w:pPr>
        <w:pStyle w:val="Heading3"/>
      </w:pPr>
      <w:bookmarkStart w:id="35" w:name="_Toc215429051"/>
      <w:r>
        <w:t>Regulatory &amp; Compliance</w:t>
      </w:r>
      <w:bookmarkEnd w:id="35"/>
    </w:p>
    <w:p w:rsidR="00C80B84" w:rsidRDefault="00C80B84" w:rsidP="00C80B84">
      <w:pPr>
        <w:pStyle w:val="NormalWeb"/>
        <w:numPr>
          <w:ilvl w:val="0"/>
          <w:numId w:val="20"/>
        </w:numPr>
      </w:pPr>
      <w:r>
        <w:rPr>
          <w:b/>
          <w:bCs/>
        </w:rPr>
        <w:t>Regulatory Compliance:</w:t>
      </w:r>
      <w:r>
        <w:t xml:space="preserve"> Ensuring the system's data handling, security, and information delivery meet critical regulatory standards, including </w:t>
      </w:r>
      <w:r>
        <w:rPr>
          <w:b/>
          <w:bCs/>
        </w:rPr>
        <w:t>EU MDR</w:t>
      </w:r>
      <w:r>
        <w:t xml:space="preserve"> (Medical Device Regulation), </w:t>
      </w:r>
      <w:r>
        <w:rPr>
          <w:b/>
          <w:bCs/>
        </w:rPr>
        <w:t>HIPAA</w:t>
      </w:r>
      <w:r>
        <w:t xml:space="preserve"> (Health Insurance Portability and Accountability Act), and </w:t>
      </w:r>
      <w:r>
        <w:rPr>
          <w:b/>
          <w:bCs/>
        </w:rPr>
        <w:t>FDA</w:t>
      </w:r>
      <w:r>
        <w:t xml:space="preserve"> (Food and Drug Administration) guidelines.</w:t>
      </w:r>
    </w:p>
    <w:p w:rsidR="00C80B84" w:rsidRPr="00F902C9" w:rsidRDefault="00C80B84" w:rsidP="00C8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3E54" w:rsidRDefault="00EE401D"/>
    <w:sectPr w:rsidR="00043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64EBC"/>
    <w:multiLevelType w:val="multilevel"/>
    <w:tmpl w:val="A23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F0F51"/>
    <w:multiLevelType w:val="multilevel"/>
    <w:tmpl w:val="715C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95B04"/>
    <w:multiLevelType w:val="multilevel"/>
    <w:tmpl w:val="F25E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C46FD"/>
    <w:multiLevelType w:val="multilevel"/>
    <w:tmpl w:val="2F58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E0599"/>
    <w:multiLevelType w:val="multilevel"/>
    <w:tmpl w:val="BB06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B6C79"/>
    <w:multiLevelType w:val="multilevel"/>
    <w:tmpl w:val="5942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573B1"/>
    <w:multiLevelType w:val="multilevel"/>
    <w:tmpl w:val="242E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32AF8"/>
    <w:multiLevelType w:val="multilevel"/>
    <w:tmpl w:val="41BA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E5DB8"/>
    <w:multiLevelType w:val="multilevel"/>
    <w:tmpl w:val="31AA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66340"/>
    <w:multiLevelType w:val="multilevel"/>
    <w:tmpl w:val="B846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F4C1B"/>
    <w:multiLevelType w:val="multilevel"/>
    <w:tmpl w:val="C7A2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A2465"/>
    <w:multiLevelType w:val="multilevel"/>
    <w:tmpl w:val="FD48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41A1C"/>
    <w:multiLevelType w:val="multilevel"/>
    <w:tmpl w:val="9C78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27E43"/>
    <w:multiLevelType w:val="multilevel"/>
    <w:tmpl w:val="4F62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82723"/>
    <w:multiLevelType w:val="multilevel"/>
    <w:tmpl w:val="5292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15593"/>
    <w:multiLevelType w:val="multilevel"/>
    <w:tmpl w:val="519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D5614"/>
    <w:multiLevelType w:val="multilevel"/>
    <w:tmpl w:val="285A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B55FD"/>
    <w:multiLevelType w:val="multilevel"/>
    <w:tmpl w:val="37D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C5222"/>
    <w:multiLevelType w:val="multilevel"/>
    <w:tmpl w:val="2DC4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16E04"/>
    <w:multiLevelType w:val="multilevel"/>
    <w:tmpl w:val="AE30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3"/>
  </w:num>
  <w:num w:numId="4">
    <w:abstractNumId w:val="7"/>
  </w:num>
  <w:num w:numId="5">
    <w:abstractNumId w:val="12"/>
  </w:num>
  <w:num w:numId="6">
    <w:abstractNumId w:val="19"/>
  </w:num>
  <w:num w:numId="7">
    <w:abstractNumId w:val="4"/>
  </w:num>
  <w:num w:numId="8">
    <w:abstractNumId w:val="1"/>
  </w:num>
  <w:num w:numId="9">
    <w:abstractNumId w:val="11"/>
  </w:num>
  <w:num w:numId="10">
    <w:abstractNumId w:val="5"/>
  </w:num>
  <w:num w:numId="11">
    <w:abstractNumId w:val="14"/>
  </w:num>
  <w:num w:numId="12">
    <w:abstractNumId w:val="3"/>
  </w:num>
  <w:num w:numId="13">
    <w:abstractNumId w:val="17"/>
  </w:num>
  <w:num w:numId="14">
    <w:abstractNumId w:val="18"/>
  </w:num>
  <w:num w:numId="15">
    <w:abstractNumId w:val="6"/>
  </w:num>
  <w:num w:numId="16">
    <w:abstractNumId w:val="15"/>
  </w:num>
  <w:num w:numId="17">
    <w:abstractNumId w:val="9"/>
  </w:num>
  <w:num w:numId="18">
    <w:abstractNumId w:val="16"/>
  </w:num>
  <w:num w:numId="19">
    <w:abstractNumId w:val="0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C9"/>
    <w:rsid w:val="00463DC1"/>
    <w:rsid w:val="00C722DD"/>
    <w:rsid w:val="00C80B84"/>
    <w:rsid w:val="00E2059C"/>
    <w:rsid w:val="00EE401D"/>
    <w:rsid w:val="00F902C9"/>
    <w:rsid w:val="00FD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1332"/>
  <w15:chartTrackingRefBased/>
  <w15:docId w15:val="{E2D7A791-D557-4164-B555-9315D885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02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02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02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2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02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02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0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902C9"/>
    <w:rPr>
      <w:color w:val="0000FF"/>
      <w:u w:val="single"/>
    </w:rPr>
  </w:style>
  <w:style w:type="character" w:customStyle="1" w:styleId="export-sheets-button">
    <w:name w:val="export-sheets-button"/>
    <w:basedOn w:val="DefaultParagraphFont"/>
    <w:rsid w:val="00F902C9"/>
  </w:style>
  <w:style w:type="character" w:customStyle="1" w:styleId="mord">
    <w:name w:val="mord"/>
    <w:basedOn w:val="DefaultParagraphFont"/>
    <w:rsid w:val="00F902C9"/>
  </w:style>
  <w:style w:type="character" w:customStyle="1" w:styleId="mrel">
    <w:name w:val="mrel"/>
    <w:basedOn w:val="DefaultParagraphFont"/>
    <w:rsid w:val="00F902C9"/>
  </w:style>
  <w:style w:type="character" w:customStyle="1" w:styleId="vlist-s">
    <w:name w:val="vlist-s"/>
    <w:basedOn w:val="DefaultParagraphFont"/>
    <w:rsid w:val="00F902C9"/>
  </w:style>
  <w:style w:type="character" w:styleId="HTMLCode">
    <w:name w:val="HTML Code"/>
    <w:basedOn w:val="DefaultParagraphFont"/>
    <w:uiPriority w:val="99"/>
    <w:semiHidden/>
    <w:unhideWhenUsed/>
    <w:rsid w:val="00F902C9"/>
    <w:rPr>
      <w:rFonts w:ascii="Courier New" w:eastAsia="Times New Roman" w:hAnsi="Courier New" w:cs="Courier New"/>
      <w:sz w:val="20"/>
      <w:szCs w:val="20"/>
    </w:rPr>
  </w:style>
  <w:style w:type="character" w:customStyle="1" w:styleId="ng-tns-c4228668850-48">
    <w:name w:val="ng-tns-c4228668850-48"/>
    <w:basedOn w:val="DefaultParagraphFont"/>
    <w:rsid w:val="00F902C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02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02C9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F902C9"/>
  </w:style>
  <w:style w:type="character" w:customStyle="1" w:styleId="hljs-string">
    <w:name w:val="hljs-string"/>
    <w:basedOn w:val="DefaultParagraphFont"/>
    <w:rsid w:val="00F902C9"/>
  </w:style>
  <w:style w:type="character" w:customStyle="1" w:styleId="hljs-number">
    <w:name w:val="hljs-number"/>
    <w:basedOn w:val="DefaultParagraphFont"/>
    <w:rsid w:val="00F902C9"/>
  </w:style>
  <w:style w:type="character" w:customStyle="1" w:styleId="ng-tns-c4228668850-49">
    <w:name w:val="ng-tns-c4228668850-49"/>
    <w:basedOn w:val="DefaultParagraphFont"/>
    <w:rsid w:val="00F902C9"/>
  </w:style>
  <w:style w:type="paragraph" w:styleId="TOCHeading">
    <w:name w:val="TOC Heading"/>
    <w:basedOn w:val="Heading1"/>
    <w:next w:val="Normal"/>
    <w:uiPriority w:val="39"/>
    <w:unhideWhenUsed/>
    <w:qFormat/>
    <w:rsid w:val="00E2059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205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05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2059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4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1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9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1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0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56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5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8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4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4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0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329436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43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52082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80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8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0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2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3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21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29397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aggle.com/datasets/ilyasfaruqui208/medicine-datasets-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59820-D2D5-4DBD-87B7-28FD667DC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2244</Words>
  <Characters>12794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Rashad</dc:creator>
  <cp:keywords/>
  <dc:description/>
  <cp:lastModifiedBy>Ibrahim Rashad</cp:lastModifiedBy>
  <cp:revision>3</cp:revision>
  <dcterms:created xsi:type="dcterms:W3CDTF">2025-11-30T19:03:00Z</dcterms:created>
  <dcterms:modified xsi:type="dcterms:W3CDTF">2025-11-30T19:03:00Z</dcterms:modified>
</cp:coreProperties>
</file>