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BodyText1"/>
      </w:pPr>
      <w:r>
        <w:rPr>
          <w:rFonts w:ascii="Traditional Arabic" w:hAnsi="Traditional Arabic" w:cs="Traditional Arabic" w:eastAsia="Traditional Arabic"/>
          <w:rtl/>
        </w:rPr>
        <w:t xml:space="preserve">#٣ المطلب: التحسين والتقبيح العقليان، وانبناء الأحكام على الشرع عند تقي الدين السبكي</w:t>
      </w:r>
    </w:p>
    <w:p>
      <w:pPr>
        <w:pStyle w:val="BodyText1"/>
      </w:pPr>
      <w:r>
        <w:rPr>
          <w:rFonts w:ascii="Traditional Arabic" w:hAnsi="Traditional Arabic" w:cs="Traditional Arabic" w:eastAsia="Traditional Arabic"/>
          <w:rtl/>
        </w:rPr>
        <w:t xml:space="preserve">هذه القاعدة من أكبر قواعد الأصول التي تتفرع عنها مسائل كثيرة في الكلام والفقه والتفسير، وقد وقفت فيها لتقي الدين السبكي</w:t>
      </w:r>
      <w:r>
        <w:rPr>
          <w:rStyle w:val="FootnoteReference"/>
          <w:rFonts w:ascii="Traditional Arabic" w:hAnsi="Traditional Arabic" w:cs="Traditional Arabic" w:eastAsia="Traditional Arabic"/>
          <w:rtl/>
        </w:rPr>
        <w:footnoteReference w:id="2"/>
      </w:r>
      <w:r>
        <w:rPr>
          <w:rFonts w:ascii="Traditional Arabic" w:hAnsi="Traditional Arabic" w:cs="Traditional Arabic" w:eastAsia="Traditional Arabic"/>
          <w:rtl/>
        </w:rPr>
        <w:t xml:space="preserve"> على نصوص متفرقة في فتاويه وتكملته على المجموع، وعلى كلام في الإبهاج ينبغي أن يميز فيه ما هو له مما هو لولده التاج. وقصدت في هذا المطلب إلى استخراج ما صرح به في هذه المواضع، ثم بناء القاعدة عليه، ثم عرضها على أقوال الأصوليين والمتكلمين والمفسرين، على ما فيها من اختلاف في تحرير محل النزاع قبل الاختلاف في الحكم.</w:t>
      </w:r>
      <w:r>
        <w:rPr>
          <w:rStyle w:val="FootnoteReference"/>
          <w:rFonts w:ascii="Traditional Arabic" w:hAnsi="Traditional Arabic" w:cs="Traditional Arabic" w:eastAsia="Traditional Arabic"/>
          <w:rtl/>
        </w:rPr>
        <w:footnoteReference w:id="3"/>
      </w:r>
    </w:p>
    <w:p>
      <w:pPr>
        <w:pStyle w:val="BodyText1"/>
      </w:pPr>
      <w:r>
        <w:rPr>
          <w:rFonts w:ascii="Traditional Arabic" w:hAnsi="Traditional Arabic" w:cs="Traditional Arabic" w:eastAsia="Traditional Arabic"/>
          <w:rtl/>
        </w:rPr>
        <w:t xml:space="preserve">#٤ تمهيد</w:t>
      </w:r>
    </w:p>
    <w:p>
      <w:pPr>
        <w:pStyle w:val="BodyText1"/>
      </w:pPr>
      <w:r>
        <w:rPr>
          <w:rFonts w:ascii="Traditional Arabic" w:hAnsi="Traditional Arabic" w:cs="Traditional Arabic" w:eastAsia="Traditional Arabic"/>
          <w:rtl/>
        </w:rPr>
        <w:t xml:space="preserve">#٥ اللغة</w:t>
      </w:r>
    </w:p>
    <w:p>
      <w:pPr>
        <w:pStyle w:val="BodyText1"/>
      </w:pPr>
      <w:r>
        <w:rPr>
          <w:rFonts w:ascii="Traditional Arabic" w:hAnsi="Traditional Arabic" w:cs="Traditional Arabic" w:eastAsia="Traditional Arabic"/>
          <w:rtl/>
        </w:rPr>
        <w:t xml:space="preserve">أبدأ بالمفردات، فأقول: الحسن في اللغة ضد القبح. قال ابن فارس: "فالحسن ضد القبح" وجعل مادته "أصل واحد".</w:t>
      </w:r>
      <w:r>
        <w:rPr>
          <w:rStyle w:val="FootnoteReference"/>
          <w:rFonts w:ascii="Traditional Arabic" w:hAnsi="Traditional Arabic" w:cs="Traditional Arabic" w:eastAsia="Traditional Arabic"/>
          <w:rtl/>
        </w:rPr>
        <w:footnoteReference w:id="4"/>
      </w:r>
      <w:r>
        <w:rPr>
          <w:rFonts w:ascii="Traditional Arabic" w:hAnsi="Traditional Arabic" w:cs="Traditional Arabic" w:eastAsia="Traditional Arabic"/>
          <w:rtl/>
        </w:rPr>
        <w:t xml:space="preserve"> وقال ابن منظور: "الحسن: ضد القبح ونقيضه".</w:t>
      </w:r>
      <w:r>
        <w:rPr>
          <w:rStyle w:val="FootnoteReference"/>
          <w:rFonts w:ascii="Traditional Arabic" w:hAnsi="Traditional Arabic" w:cs="Traditional Arabic" w:eastAsia="Traditional Arabic"/>
          <w:rtl/>
        </w:rPr>
        <w:footnoteReference w:id="5"/>
      </w:r>
      <w:r>
        <w:rPr>
          <w:rFonts w:ascii="Traditional Arabic" w:hAnsi="Traditional Arabic" w:cs="Traditional Arabic" w:eastAsia="Traditional Arabic"/>
          <w:rtl/>
        </w:rPr>
        <w:t xml:space="preserve"> وأما القبح فنص ابن سيده على أنه "ضد الحسن، يكون في الصورة والفعل".</w:t>
      </w:r>
      <w:r>
        <w:rPr>
          <w:rStyle w:val="FootnoteReference"/>
          <w:rFonts w:ascii="Traditional Arabic" w:hAnsi="Traditional Arabic" w:cs="Traditional Arabic" w:eastAsia="Traditional Arabic"/>
          <w:rtl/>
        </w:rPr>
        <w:footnoteReference w:id="6"/>
      </w:r>
      <w:r>
        <w:rPr>
          <w:rFonts w:ascii="Traditional Arabic" w:hAnsi="Traditional Arabic" w:cs="Traditional Arabic" w:eastAsia="Traditional Arabic"/>
          <w:rtl/>
        </w:rPr>
        <w:t xml:space="preserve"> فوصف الفعل بالحسن والقبح وصف لغوي صحيح، ولا يختص بالصور والأشكال.</w:t>
      </w:r>
    </w:p>
    <w:p>
      <w:pPr>
        <w:pStyle w:val="BodyText1"/>
      </w:pPr>
      <w:r>
        <w:rPr>
          <w:rFonts w:ascii="Traditional Arabic" w:hAnsi="Traditional Arabic" w:cs="Traditional Arabic" w:eastAsia="Traditional Arabic"/>
          <w:rtl/>
        </w:rPr>
        <w:t xml:space="preserve">ولا بد من الوقوف عند لفظي التحسين والتقبيح؛ فإن ابن سيده فرق بين صيغتين من الفعل فقال: "حسنت الشيء وقبحته - جعلته حسنا أو قبيحا - واستحسنته واستقبحته - رأيته حسنا وقبيحا".</w:t>
      </w:r>
      <w:r>
        <w:rPr>
          <w:rStyle w:val="FootnoteReference"/>
          <w:rFonts w:ascii="Traditional Arabic" w:hAnsi="Traditional Arabic" w:cs="Traditional Arabic" w:eastAsia="Traditional Arabic"/>
          <w:rtl/>
        </w:rPr>
        <w:footnoteReference w:id="7"/>
      </w:r>
      <w:r>
        <w:rPr>
          <w:rFonts w:ascii="Traditional Arabic" w:hAnsi="Traditional Arabic" w:cs="Traditional Arabic" w:eastAsia="Traditional Arabic"/>
          <w:rtl/>
        </w:rPr>
        <w:t xml:space="preserve"> وكذلك جاء في مختار الصحاح: "الاستقباح ضد الاستحسان".</w:t>
      </w:r>
      <w:r>
        <w:rPr>
          <w:rStyle w:val="FootnoteReference"/>
          <w:rFonts w:ascii="Traditional Arabic" w:hAnsi="Traditional Arabic" w:cs="Traditional Arabic" w:eastAsia="Traditional Arabic"/>
          <w:rtl/>
        </w:rPr>
        <w:footnoteReference w:id="8"/>
      </w:r>
      <w:r>
        <w:rPr>
          <w:rFonts w:ascii="Traditional Arabic" w:hAnsi="Traditional Arabic" w:cs="Traditional Arabic" w:eastAsia="Traditional Arabic"/>
          <w:rtl/>
        </w:rPr>
        <w:t xml:space="preserve"> فالتحسين في أصل اللغة جعل الشيء حسنا، والاستحسان رؤيته حسنا. وهذا الفرق وإن لم أقف على من نص على إجرائه في هذه المسألة - فيما وقفت عليه - يضيء موضع النزاع فيها؛ إذ يرجع في حقيقته إلى أن العقل هل هو جاعل للفعل حسنا أو قبيحا، أو أنه مدرك لما هو عليه، وسيأتي أن الخلاف الحقيقي بين الفرق لا يقع في الإدراك، وإنما يقع فيما يترتب على الإدراك من حكم. والله أعلم.</w:t>
      </w:r>
    </w:p>
    <w:p>
      <w:pPr>
        <w:pStyle w:val="BodyText1"/>
      </w:pPr>
      <w:r>
        <w:rPr>
          <w:rFonts w:ascii="Traditional Arabic" w:hAnsi="Traditional Arabic" w:cs="Traditional Arabic" w:eastAsia="Traditional Arabic"/>
          <w:rtl/>
        </w:rPr>
        <w:t xml:space="preserve">#٥ الاصطلاح</w:t>
      </w:r>
    </w:p>
    <w:p>
      <w:pPr>
        <w:pStyle w:val="BodyText1"/>
      </w:pPr>
      <w:r>
        <w:rPr>
          <w:rFonts w:ascii="Traditional Arabic" w:hAnsi="Traditional Arabic" w:cs="Traditional Arabic" w:eastAsia="Traditional Arabic"/>
          <w:rtl/>
        </w:rPr>
        <w:t xml:space="preserve">أما الاصطلاح فقد قسم كثير من الأصوليين الحسن والقبح إلى ثلاثة اعتبارات. قال القرافي: "حسن الشيء وقبحه يراد بهما ما يلائم الطبع أو ينافره كإنقاذ الغرقى واتهام الأبرياء وكونهما صفة كمال أو نقص نحو العلم حسن والجهل قبيح أو كونه موجبا للمدح أو الذم الشرعيين، والأولان عقليان إجماعا والثالث شرعي عندنا لا يعلم ولا يثبت إلا بالشرع".</w:t>
      </w:r>
      <w:r>
        <w:rPr>
          <w:rStyle w:val="FootnoteReference"/>
          <w:rFonts w:ascii="Traditional Arabic" w:hAnsi="Traditional Arabic" w:cs="Traditional Arabic" w:eastAsia="Traditional Arabic"/>
          <w:rtl/>
        </w:rPr>
        <w:footnoteReference w:id="9"/>
      </w:r>
      <w:r>
        <w:rPr>
          <w:rFonts w:ascii="Traditional Arabic" w:hAnsi="Traditional Arabic" w:cs="Traditional Arabic" w:eastAsia="Traditional Arabic"/>
          <w:rtl/>
        </w:rPr>
        <w:t xml:space="preserve"> وعلى هذا التقسيم جرى تاج الدين السبكي</w:t>
      </w:r>
      <w:r>
        <w:rPr>
          <w:rStyle w:val="FootnoteReference"/>
          <w:rFonts w:ascii="Traditional Arabic" w:hAnsi="Traditional Arabic" w:cs="Traditional Arabic" w:eastAsia="Traditional Arabic"/>
          <w:rtl/>
        </w:rPr>
        <w:footnoteReference w:id="10"/>
      </w:r>
      <w:r>
        <w:rPr>
          <w:rFonts w:ascii="Traditional Arabic" w:hAnsi="Traditional Arabic" w:cs="Traditional Arabic" w:eastAsia="Traditional Arabic"/>
          <w:rtl/>
        </w:rPr>
        <w:t xml:space="preserve"> في الإبهاج، فقال: "وبهذا التفسير لا نزاع في كونهما عقليين، إنما النزاع في كون الفعل متعلق الذم عاجلا والعقاب آجلا".</w:t>
      </w:r>
      <w:r>
        <w:rPr>
          <w:rStyle w:val="FootnoteReference"/>
          <w:rFonts w:ascii="Traditional Arabic" w:hAnsi="Traditional Arabic" w:cs="Traditional Arabic" w:eastAsia="Traditional Arabic"/>
          <w:rtl/>
        </w:rPr>
        <w:footnoteReference w:id="11"/>
      </w:r>
      <w:r>
        <w:rPr>
          <w:rFonts w:ascii="Traditional Arabic" w:hAnsi="Traditional Arabic" w:cs="Traditional Arabic" w:eastAsia="Traditional Arabic"/>
          <w:rtl/>
        </w:rPr>
        <w:t xml:space="preserve"> ووافق ذلك ما قرره صاحب تيسير التحرير من الحنفية، فقال: "ولا نزاع في دركه أي العقل الحسن والقبح للفعل بمعنى صفة الكمال" - يريد وصفة النقص - ثم قال: "بل النزاع فيهما أي في إدراك العقل الحسن والقبح بمعنى استحقاق مدحه تعالى وثوابه" للفاعل على ذلك الفعل، "ومقابلهما أي وبمعنى استحقاق ذمه تعالى وعقابه".</w:t>
      </w:r>
      <w:r>
        <w:rPr>
          <w:rStyle w:val="FootnoteReference"/>
          <w:rFonts w:ascii="Traditional Arabic" w:hAnsi="Traditional Arabic" w:cs="Traditional Arabic" w:eastAsia="Traditional Arabic"/>
          <w:rtl/>
        </w:rPr>
        <w:footnoteReference w:id="12"/>
      </w:r>
    </w:p>
    <w:p>
      <w:pPr>
        <w:pStyle w:val="BodyText1"/>
      </w:pPr>
      <w:r>
        <w:rPr>
          <w:rFonts w:ascii="Traditional Arabic" w:hAnsi="Traditional Arabic" w:cs="Traditional Arabic" w:eastAsia="Traditional Arabic"/>
          <w:rtl/>
        </w:rPr>
        <w:t xml:space="preserve">وللغزالي ومن تبعه من الأشاعرة تقسيم آخر لا يوافق هذا في تمييز ما هو عقلي بالاتفاق. فالغزالي يذكر ثلاثة اصطلاحات: الأول أن يوافق الفعل غرض الفاعل أو يخالفه، والثاني "التعبير بالحسن عما حسنه الشرع بالثناء على فاعله"، والثالث "التعبير بالحسن عن كل ما لفاعله أن يفعله"، ثم قال: "وهذه المعاني الثلاثة كلها أوصاف إضافية وهي معقولة، ولا حجر على من يجعل لفظ الحسن عبارة عن شيء منها، فلا مشاحة في الألفاظ".</w:t>
      </w:r>
      <w:r>
        <w:rPr>
          <w:rStyle w:val="FootnoteReference"/>
          <w:rFonts w:ascii="Traditional Arabic" w:hAnsi="Traditional Arabic" w:cs="Traditional Arabic" w:eastAsia="Traditional Arabic"/>
          <w:rtl/>
        </w:rPr>
        <w:footnoteReference w:id="13"/>
      </w:r>
      <w:r>
        <w:rPr>
          <w:rFonts w:ascii="Traditional Arabic" w:hAnsi="Traditional Arabic" w:cs="Traditional Arabic" w:eastAsia="Traditional Arabic"/>
          <w:rtl/>
        </w:rPr>
        <w:t xml:space="preserve"> وسلك الآمدي مسلكه فعدها "باعتبارات ثلاثة إضافية غير حقيقية".</w:t>
      </w:r>
      <w:r>
        <w:rPr>
          <w:rStyle w:val="FootnoteReference"/>
          <w:rFonts w:ascii="Traditional Arabic" w:hAnsi="Traditional Arabic" w:cs="Traditional Arabic" w:eastAsia="Traditional Arabic"/>
          <w:rtl/>
        </w:rPr>
        <w:footnoteReference w:id="14"/>
      </w:r>
      <w:r>
        <w:rPr>
          <w:rFonts w:ascii="Traditional Arabic" w:hAnsi="Traditional Arabic" w:cs="Traditional Arabic" w:eastAsia="Traditional Arabic"/>
          <w:rtl/>
        </w:rPr>
        <w:t xml:space="preserve"> فالتقسيمان يختلفان في موضع الإجماع: فعلى الأول يقع الاتفاق على عقلية المعنيين الأولين، وعلى الثاني تجعل المعاني كلها إضافية ولا تنسب إلى ذات الفعل. ومرجع الجميع إلى أن المعنى الذي فيه النزاع هو ترتب المدح والذم، والثواب والعقاب، على الفعل قبل ورود الشرع.</w:t>
      </w:r>
    </w:p>
    <w:p>
      <w:pPr>
        <w:pStyle w:val="BodyText1"/>
      </w:pPr>
      <w:r>
        <w:rPr>
          <w:rFonts w:ascii="Traditional Arabic" w:hAnsi="Traditional Arabic" w:cs="Traditional Arabic" w:eastAsia="Traditional Arabic"/>
          <w:rtl/>
        </w:rPr>
        <w:t xml:space="preserve">ومن الاصطلاح أيضا لفظ «العقلي» عند المعتزلة؛ ومرادهم به - كما نقل القرافي عنهم - أنه "لا يفتقر إلى ورود الشرائع بل العقل يستقل بثبوته قبل الرسل، وإنما الشرائع مؤكدة لحكم العقل فيما علمه ضرورة".</w:t>
      </w:r>
      <w:r>
        <w:rPr>
          <w:rStyle w:val="FootnoteReference"/>
          <w:rFonts w:ascii="Traditional Arabic" w:hAnsi="Traditional Arabic" w:cs="Traditional Arabic" w:eastAsia="Traditional Arabic"/>
          <w:rtl/>
        </w:rPr>
        <w:footnoteReference w:id="15"/>
      </w:r>
      <w:r>
        <w:rPr>
          <w:rFonts w:ascii="Traditional Arabic" w:hAnsi="Traditional Arabic" w:cs="Traditional Arabic" w:eastAsia="Traditional Arabic"/>
          <w:rtl/>
        </w:rPr>
        <w:t xml:space="preserve"> وعند أبي الحسين البصري حد الحسن والقبيح: "أما الحسن فهو فعل إذا فعله القادر عليه لم يستحق الذم على وجه"، و"أما القبيح فهو فعل له تأثير في استحقاق الذم".</w:t>
      </w:r>
      <w:r>
        <w:rPr>
          <w:rStyle w:val="FootnoteReference"/>
          <w:rFonts w:ascii="Traditional Arabic" w:hAnsi="Traditional Arabic" w:cs="Traditional Arabic" w:eastAsia="Traditional Arabic"/>
          <w:rtl/>
        </w:rPr>
        <w:footnoteReference w:id="16"/>
      </w:r>
      <w:r>
        <w:rPr>
          <w:rFonts w:ascii="Traditional Arabic" w:hAnsi="Traditional Arabic" w:cs="Traditional Arabic" w:eastAsia="Traditional Arabic"/>
          <w:rtl/>
        </w:rPr>
        <w:t xml:space="preserve"> فالقبح عندهم متعلق بالاستحقاق، لا بمجرد النفرة.</w:t>
      </w:r>
    </w:p>
    <w:p>
      <w:pPr>
        <w:pStyle w:val="BodyText1"/>
      </w:pPr>
      <w:r>
        <w:rPr>
          <w:rFonts w:ascii="Traditional Arabic" w:hAnsi="Traditional Arabic" w:cs="Traditional Arabic" w:eastAsia="Traditional Arabic"/>
          <w:rtl/>
        </w:rPr>
        <w:t xml:space="preserve">#٥ الفروق التي يقع فيها الخلط</w:t>
      </w:r>
    </w:p>
    <w:p>
      <w:pPr>
        <w:pStyle w:val="BodyText1"/>
      </w:pPr>
      <w:r>
        <w:rPr>
          <w:rFonts w:ascii="Traditional Arabic" w:hAnsi="Traditional Arabic" w:cs="Traditional Arabic" w:eastAsia="Traditional Arabic"/>
          <w:rtl/>
        </w:rPr>
        <w:t xml:space="preserve">وقد وقع الخلط في هذه القاعدة في خمسة مواضع، أحتاج إلى تحريرها قبل الدخول في المسألة.</w:t>
      </w:r>
    </w:p>
    <w:p>
      <w:pPr>
        <w:pStyle w:val="BodyText1"/>
      </w:pPr>
      <w:r>
        <w:rPr>
          <w:rFonts w:ascii="Traditional Arabic" w:hAnsi="Traditional Arabic" w:cs="Traditional Arabic" w:eastAsia="Traditional Arabic"/>
          <w:rtl/>
        </w:rPr>
        <w:t xml:space="preserve">الأول: الفرق بين الحسن والقبح والحكم الشرعي. فالحكم عند الغزالي "خطاب الشرع إذا تعلق بأفعال المكلفين"، ولهذا قال: "فإن لم يوجد هذا الخطاب من الشارع فلا حكم، فلهذا قلنا العقل لا يحسن ولا يقبح ولا يوجب شكر المنعم، ولا حكم للأفعال قبل ورود الشرع".</w:t>
      </w:r>
      <w:r>
        <w:rPr>
          <w:rStyle w:val="FootnoteReference"/>
          <w:rFonts w:ascii="Traditional Arabic" w:hAnsi="Traditional Arabic" w:cs="Traditional Arabic" w:eastAsia="Traditional Arabic"/>
          <w:rtl/>
        </w:rPr>
        <w:footnoteReference w:id="17"/>
      </w:r>
      <w:r>
        <w:rPr>
          <w:rFonts w:ascii="Traditional Arabic" w:hAnsi="Traditional Arabic" w:cs="Traditional Arabic" w:eastAsia="Traditional Arabic"/>
          <w:rtl/>
        </w:rPr>
        <w:t xml:space="preserve"> فإذا أطلق القول بأن العقل لا يحسن ولا يقبح عند الأشاعرة فالمراد به المعنى الثالث المتعلق بالحكم لا المعنيان الأولان.</w:t>
      </w:r>
    </w:p>
    <w:p>
      <w:pPr>
        <w:pStyle w:val="BodyText1"/>
      </w:pPr>
      <w:r>
        <w:rPr>
          <w:rFonts w:ascii="Traditional Arabic" w:hAnsi="Traditional Arabic" w:cs="Traditional Arabic" w:eastAsia="Traditional Arabic"/>
          <w:rtl/>
        </w:rPr>
        <w:t xml:space="preserve">الثاني: الفرق بين الإدراك والحكم. فقد قال الزركشي: "والأصوليون الناقلون لهذه المسألة قد أحالوا المعنى، ونقلوا عن المعتزلة ما لا ينبغي لقائل أن يقوله"، وإن المعتزلة "ليس مرادهم أن الأوصاف مستقلة بالأحكام، ولا أن العقل يوجب ويحرم".</w:t>
      </w:r>
      <w:r>
        <w:rPr>
          <w:rStyle w:val="FootnoteReference"/>
          <w:rFonts w:ascii="Traditional Arabic" w:hAnsi="Traditional Arabic" w:cs="Traditional Arabic" w:eastAsia="Traditional Arabic"/>
          <w:rtl/>
        </w:rPr>
        <w:footnoteReference w:id="18"/>
      </w:r>
      <w:r>
        <w:rPr>
          <w:rFonts w:ascii="Traditional Arabic" w:hAnsi="Traditional Arabic" w:cs="Traditional Arabic" w:eastAsia="Traditional Arabic"/>
          <w:rtl/>
        </w:rPr>
        <w:t xml:space="preserve"> وقال في تنبيه له على إدراك الحكم الشرعي في القياس: "فالمراد به أن العقل مدرك للحكم، لا أنه حاكم".</w:t>
      </w:r>
      <w:r>
        <w:rPr>
          <w:rStyle w:val="FootnoteReference"/>
          <w:rFonts w:ascii="Traditional Arabic" w:hAnsi="Traditional Arabic" w:cs="Traditional Arabic" w:eastAsia="Traditional Arabic"/>
          <w:rtl/>
        </w:rPr>
        <w:footnoteReference w:id="19"/>
      </w:r>
      <w:r>
        <w:rPr>
          <w:rFonts w:ascii="Traditional Arabic" w:hAnsi="Traditional Arabic" w:cs="Traditional Arabic" w:eastAsia="Traditional Arabic"/>
          <w:rtl/>
        </w:rPr>
        <w:t xml:space="preserve"> وقريب منه قول الطوفي: "فالجمهور يحكون عن المعتزلة أنهم يقولون: العقل حاكم، وهي عبارة فيها إجمال وشناعة لإيهامه الشرك في الحكم"، وأن المعتزلة "يفسرون مرادهم بأن العقل جعله الله عز وجل مدركا لحسن الحسن وقبح القبيح".</w:t>
      </w:r>
      <w:r>
        <w:rPr>
          <w:rStyle w:val="FootnoteReference"/>
          <w:rFonts w:ascii="Traditional Arabic" w:hAnsi="Traditional Arabic" w:cs="Traditional Arabic" w:eastAsia="Traditional Arabic"/>
          <w:rtl/>
        </w:rPr>
        <w:footnoteReference w:id="20"/>
      </w:r>
    </w:p>
    <w:p>
      <w:pPr>
        <w:pStyle w:val="BodyText1"/>
      </w:pPr>
      <w:r>
        <w:rPr>
          <w:rFonts w:ascii="Traditional Arabic" w:hAnsi="Traditional Arabic" w:cs="Traditional Arabic" w:eastAsia="Traditional Arabic"/>
          <w:rtl/>
        </w:rPr>
        <w:t xml:space="preserve">الثالث: الفرق بين ثبوت الحسن والقبح العقليين واستلزامهما الثواب والعقاب. وهو أدق هذه الفروق، وقد قال فيه ابن القيم: "فلا تلازم بين ثبوت الحسن والقبح العقليين وبين استحقاق الثواب والعقاب".</w:t>
      </w:r>
      <w:r>
        <w:rPr>
          <w:rStyle w:val="FootnoteReference"/>
          <w:rFonts w:ascii="Traditional Arabic" w:hAnsi="Traditional Arabic" w:cs="Traditional Arabic" w:eastAsia="Traditional Arabic"/>
          <w:rtl/>
        </w:rPr>
        <w:footnoteReference w:id="21"/>
      </w:r>
      <w:r>
        <w:rPr>
          <w:rFonts w:ascii="Traditional Arabic" w:hAnsi="Traditional Arabic" w:cs="Traditional Arabic" w:eastAsia="Traditional Arabic"/>
          <w:rtl/>
        </w:rPr>
        <w:t xml:space="preserve"> وهو ما سماه الزركشي المذهب الثالث، وقال فيه: "وهو المنصور، لقوته من حيث النظر وآيات القرآن المجيد وسلامته من التناقض".</w:t>
      </w:r>
      <w:r>
        <w:rPr>
          <w:rStyle w:val="FootnoteReference"/>
          <w:rFonts w:ascii="Traditional Arabic" w:hAnsi="Traditional Arabic" w:cs="Traditional Arabic" w:eastAsia="Traditional Arabic"/>
          <w:rtl/>
        </w:rPr>
        <w:footnoteReference w:id="22"/>
      </w:r>
    </w:p>
    <w:p>
      <w:pPr>
        <w:pStyle w:val="BodyText1"/>
      </w:pPr>
      <w:r>
        <w:rPr>
          <w:rFonts w:ascii="Traditional Arabic" w:hAnsi="Traditional Arabic" w:cs="Traditional Arabic" w:eastAsia="Traditional Arabic"/>
          <w:rtl/>
        </w:rPr>
        <w:t xml:space="preserve">الرابع: الفرق بين وجوب شكر المنعم عقلا ووجوبه شرعا. فالأشاعرة ينفون الأول، ويثبتون الثاني. قال تاج الدين السبكي: "شكر المنعم: غير واجب عقلا خلافا للمعتزلة وبعض الحنفية، وأما وجوبه شرعا فمتفق عليه".</w:t>
      </w:r>
      <w:r>
        <w:rPr>
          <w:rStyle w:val="FootnoteReference"/>
          <w:rFonts w:ascii="Traditional Arabic" w:hAnsi="Traditional Arabic" w:cs="Traditional Arabic" w:eastAsia="Traditional Arabic"/>
          <w:rtl/>
        </w:rPr>
        <w:footnoteReference w:id="23"/>
      </w:r>
    </w:p>
    <w:p>
      <w:pPr>
        <w:pStyle w:val="BodyText1"/>
      </w:pPr>
      <w:r>
        <w:rPr>
          <w:rFonts w:ascii="Traditional Arabic" w:hAnsi="Traditional Arabic" w:cs="Traditional Arabic" w:eastAsia="Traditional Arabic"/>
          <w:rtl/>
        </w:rPr>
        <w:t xml:space="preserve">الخامس: الفرق بين كون العقل شرطا في التكليف وكونه مصدرا للتكليف. فالحنفية يقولون - كما في كشف الأسرار - إن العقل "معتبر لإثبات الأهلية أي أهلية الخطاب إذ الخطاب لا يفهم بدون العقل"، وإنه "آلة" لا يصلح "أن يكون موجبا بنفسه شيئا ولا مدركا بنفسه حسن الأشياء وقبحها".</w:t>
      </w:r>
      <w:r>
        <w:rPr>
          <w:rStyle w:val="FootnoteReference"/>
          <w:rFonts w:ascii="Traditional Arabic" w:hAnsi="Traditional Arabic" w:cs="Traditional Arabic" w:eastAsia="Traditional Arabic"/>
          <w:rtl/>
        </w:rPr>
        <w:footnoteReference w:id="24"/>
      </w:r>
      <w:r>
        <w:rPr>
          <w:rFonts w:ascii="Traditional Arabic" w:hAnsi="Traditional Arabic" w:cs="Traditional Arabic" w:eastAsia="Traditional Arabic"/>
          <w:rtl/>
        </w:rPr>
        <w:t xml:space="preserve"> وسيأتي أن تقي الدين السبكي نص في الإبهاج على أن العقل مما يتوقف عليه الوجوب.</w:t>
      </w:r>
    </w:p>
    <w:p>
      <w:pPr>
        <w:pStyle w:val="BodyText1"/>
      </w:pPr>
      <w:r>
        <w:rPr>
          <w:rFonts w:ascii="Traditional Arabic" w:hAnsi="Traditional Arabic" w:cs="Traditional Arabic" w:eastAsia="Traditional Arabic"/>
          <w:rtl/>
        </w:rPr>
        <w:t xml:space="preserve">#٤ أولا: النص محل الاستنباط</w:t>
      </w:r>
    </w:p>
    <w:p>
      <w:pPr>
        <w:pStyle w:val="BodyText1"/>
      </w:pPr>
      <w:r>
        <w:rPr>
          <w:rFonts w:ascii="Traditional Arabic" w:hAnsi="Traditional Arabic" w:cs="Traditional Arabic" w:eastAsia="Traditional Arabic"/>
          <w:rtl/>
        </w:rPr>
        <w:t xml:space="preserve">#٥ نصوص تقي الدين السبكي في المسألة</w:t>
      </w:r>
    </w:p>
    <w:p>
      <w:pPr>
        <w:pStyle w:val="BodyText1"/>
      </w:pPr>
      <w:r>
        <w:rPr>
          <w:rFonts w:ascii="Traditional Arabic" w:hAnsi="Traditional Arabic" w:cs="Traditional Arabic" w:eastAsia="Traditional Arabic"/>
          <w:rtl/>
        </w:rPr>
        <w:t xml:space="preserve">لم أقف لتقي الدين السبكي - فيما وقفت عليه في المكتبة التي بحثت فيها - على رسالة مفردة في التحسين والتقبيح العقليين، ولكنه تعرض للقاعدة في ثلاثة مصنفات من مصنفاته: فتاويه، وتكملة المجموع، وقسم الإبهاج الذي كتبه قبل أن يعرض عن إكماله؛ فقد نص ولده على أنه "عمل منه قطعة يسيرة فانتهى إلى مسألة مقدمة الواجب ثم أعرض عنه فأكملته أنا".</w:t>
      </w:r>
      <w:r>
        <w:rPr>
          <w:rStyle w:val="FootnoteReference"/>
          <w:rFonts w:ascii="Traditional Arabic" w:hAnsi="Traditional Arabic" w:cs="Traditional Arabic" w:eastAsia="Traditional Arabic"/>
          <w:rtl/>
        </w:rPr>
        <w:footnoteReference w:id="25"/>
      </w:r>
      <w:r>
        <w:rPr>
          <w:rFonts w:ascii="Traditional Arabic" w:hAnsi="Traditional Arabic" w:cs="Traditional Arabic" w:eastAsia="Traditional Arabic"/>
          <w:rtl/>
        </w:rPr>
        <w:t xml:space="preserve"> وأولها وأوسعها ما كتبه في جواب أسئلة وردت عليه من طرابلس الشام في عموم رسالة النبي صلى الله عليه وسلم، وقد صرح جامع الفتاوى بأنها كلها "منقولة من خطه حرفا حرفا".</w:t>
      </w:r>
      <w:r>
        <w:rPr>
          <w:rStyle w:val="FootnoteReference"/>
          <w:rFonts w:ascii="Traditional Arabic" w:hAnsi="Traditional Arabic" w:cs="Traditional Arabic" w:eastAsia="Traditional Arabic"/>
          <w:rtl/>
        </w:rPr>
        <w:footnoteReference w:id="26"/>
      </w:r>
      <w:r>
        <w:rPr>
          <w:rFonts w:ascii="Traditional Arabic" w:hAnsi="Traditional Arabic" w:cs="Traditional Arabic" w:eastAsia="Traditional Arabic"/>
          <w:rtl/>
        </w:rPr>
        <w:t xml:space="preserve"> وتاريخ ورود هذه الأسئلة منصوص عليه في أول الجواب؛ ففيه: "وردت على الشيخ الإمام"، وهو "بالقاهرة في سنة ثمان وثلاثين وسبعمائة".</w:t>
      </w:r>
      <w:r>
        <w:rPr>
          <w:rStyle w:val="FootnoteReference"/>
          <w:rFonts w:ascii="Traditional Arabic" w:hAnsi="Traditional Arabic" w:cs="Traditional Arabic" w:eastAsia="Traditional Arabic"/>
          <w:rtl/>
        </w:rPr>
        <w:footnoteReference w:id="27"/>
      </w:r>
      <w:r>
        <w:rPr>
          <w:rFonts w:ascii="Traditional Arabic" w:hAnsi="Traditional Arabic" w:cs="Traditional Arabic" w:eastAsia="Traditional Arabic"/>
          <w:rtl/>
        </w:rPr>
        <w:t xml:space="preserve"> وعليه فما في آخر الجواب من تاريخ الفراغ "سنة ٢٣٨" تصحيف ظاهر لا يعول عليه.</w:t>
      </w:r>
      <w:r>
        <w:rPr>
          <w:rStyle w:val="FootnoteReference"/>
          <w:rFonts w:ascii="Traditional Arabic" w:hAnsi="Traditional Arabic" w:cs="Traditional Arabic" w:eastAsia="Traditional Arabic"/>
          <w:rtl/>
        </w:rPr>
        <w:footnoteReference w:id="28"/>
      </w:r>
    </w:p>
    <w:p>
      <w:pPr>
        <w:pStyle w:val="BodyText1"/>
      </w:pPr>
      <w:r>
        <w:rPr>
          <w:rFonts w:ascii="Traditional Arabic" w:hAnsi="Traditional Arabic" w:cs="Traditional Arabic" w:eastAsia="Traditional Arabic"/>
          <w:rtl/>
        </w:rPr>
        <w:t xml:space="preserve">وكان مما أورده السائل في سؤاله أنه قال: "ثم إن الجن سابقون على الإنس في الخلق والوجود"، فحالهم السابق إما أن يكون قد أرسل إليهم رسول فيلزم أن يكون الرسل من غير الإنس، وإما لا فيلزم عدم تكليفهم وعدم تعذيبهم، وهو عند السائل على خلاف قوله تعالى {وما خلقت الجن والإنس إلا ليعبدون} {وما كنا معذبين حتى نبعث رسولا}.</w:t>
      </w:r>
      <w:r>
        <w:rPr>
          <w:rStyle w:val="FootnoteReference"/>
          <w:rFonts w:ascii="Traditional Arabic" w:hAnsi="Traditional Arabic" w:cs="Traditional Arabic" w:eastAsia="Traditional Arabic"/>
          <w:rtl/>
        </w:rPr>
        <w:footnoteReference w:id="29"/>
      </w:r>
      <w:r>
        <w:rPr>
          <w:rFonts w:ascii="Traditional Arabic" w:hAnsi="Traditional Arabic" w:cs="Traditional Arabic" w:eastAsia="Traditional Arabic"/>
          <w:rtl/>
        </w:rPr>
        <w:t xml:space="preserve"> فأجاب تقي الدين السبكي بما نصه: "ولا خلاف أن إبليس مكلف معذب لمخالفته أمر الله تعالى قبل أن يأتيه رسول لا إنسي ولا جني فالآية مخصوصة أو أن العقل قائم مقام الرسول عند من يثبت الأحكام بالعقل أو أن الرسول قد يكون من الملائكة أو أن التكليف يحصل بسماع كلام الله تعالى أو خلق علم".</w:t>
      </w:r>
      <w:r>
        <w:rPr>
          <w:rStyle w:val="FootnoteReference"/>
          <w:rFonts w:ascii="Traditional Arabic" w:hAnsi="Traditional Arabic" w:cs="Traditional Arabic" w:eastAsia="Traditional Arabic"/>
          <w:rtl/>
        </w:rPr>
        <w:footnoteReference w:id="30"/>
      </w:r>
      <w:r>
        <w:rPr>
          <w:rFonts w:ascii="Traditional Arabic" w:hAnsi="Traditional Arabic" w:cs="Traditional Arabic" w:eastAsia="Traditional Arabic"/>
          <w:rtl/>
        </w:rPr>
        <w:t xml:space="preserve"> وقبل ذلك قال: "وتوقيف التكليف على الرسول إنما هو في هذه الأمم التي فيها الرسل"، وقال في الآية: "سياق الكلام الذي قبله يدل على أنه في الإنس".</w:t>
      </w:r>
      <w:r>
        <w:rPr>
          <w:rStyle w:val="FootnoteReference"/>
          <w:rFonts w:ascii="Traditional Arabic" w:hAnsi="Traditional Arabic" w:cs="Traditional Arabic" w:eastAsia="Traditional Arabic"/>
          <w:rtl/>
        </w:rPr>
        <w:footnoteReference w:id="31"/>
      </w:r>
    </w:p>
    <w:p>
      <w:pPr>
        <w:pStyle w:val="BodyText1"/>
      </w:pPr>
      <w:r>
        <w:rPr>
          <w:rFonts w:ascii="Traditional Arabic" w:hAnsi="Traditional Arabic" w:cs="Traditional Arabic" w:eastAsia="Traditional Arabic"/>
          <w:rtl/>
        </w:rPr>
        <w:t xml:space="preserve">ثم لما انتهى من الجواب وعاد إلى أمر الطوفان وإغراق فرعون وقومه بين الأصل الذي بنى عليه جوابه، فقال: "وهذا كله على مذهبنا في أن الأحكام كلها أصولها وفروعها لا تثبت إلا بالشرع، وأما المعتزلة القائلون بأنها تثبت بالعقل فيكتفون في إغراق فرعون ونحوه بقيام الدليل العقلي عليه وبالإيمان ومخالفته".</w:t>
      </w:r>
      <w:r>
        <w:rPr>
          <w:rStyle w:val="FootnoteReference"/>
          <w:rFonts w:ascii="Traditional Arabic" w:hAnsi="Traditional Arabic" w:cs="Traditional Arabic" w:eastAsia="Traditional Arabic"/>
          <w:rtl/>
        </w:rPr>
        <w:footnoteReference w:id="32"/>
      </w:r>
    </w:p>
    <w:p>
      <w:pPr>
        <w:pStyle w:val="BodyText1"/>
      </w:pPr>
      <w:r>
        <w:rPr>
          <w:rFonts w:ascii="Traditional Arabic" w:hAnsi="Traditional Arabic" w:cs="Traditional Arabic" w:eastAsia="Traditional Arabic"/>
          <w:rtl/>
        </w:rPr>
        <w:t xml:space="preserve">والموضع الثاني في الفتاوى أيضا، في كلامه على قوله تعالى {وأنتم تتلون الكتاب أفلا تعقلون}، وفيه رد على بعض أصحابه الفقهاء فيما قالوه في مسألة "أعتق عبدك عني"، فقال: "ولا عبرة بما قاله بعض أصحابنا الفقهاء في قوله: أعتق عبدك عني. من أن التناقض إنما ثبتت استحالته في العقل لا في الشرع، وهو عجيب من هذا الفقيه فإن كل ما استحال في العقل استحال في الشرع".</w:t>
      </w:r>
      <w:r>
        <w:rPr>
          <w:rStyle w:val="FootnoteReference"/>
          <w:rFonts w:ascii="Traditional Arabic" w:hAnsi="Traditional Arabic" w:cs="Traditional Arabic" w:eastAsia="Traditional Arabic"/>
          <w:rtl/>
        </w:rPr>
        <w:footnoteReference w:id="33"/>
      </w:r>
      <w:r>
        <w:rPr>
          <w:rFonts w:ascii="Traditional Arabic" w:hAnsi="Traditional Arabic" w:cs="Traditional Arabic" w:eastAsia="Traditional Arabic"/>
          <w:rtl/>
        </w:rPr>
        <w:t xml:space="preserve"> وهذا من الكلام المنقول بخطه في آيات التفسير التي جمعت في الفتاوى، وهي كما نص جامعها "غير ما خصه بالتصنيف".</w:t>
      </w:r>
      <w:r>
        <w:rPr>
          <w:rStyle w:val="FootnoteReference"/>
          <w:rFonts w:ascii="Traditional Arabic" w:hAnsi="Traditional Arabic" w:cs="Traditional Arabic" w:eastAsia="Traditional Arabic"/>
          <w:rtl/>
        </w:rPr>
        <w:footnoteReference w:id="34"/>
      </w:r>
    </w:p>
    <w:p>
      <w:pPr>
        <w:pStyle w:val="BodyText1"/>
      </w:pPr>
      <w:r>
        <w:rPr>
          <w:rFonts w:ascii="Traditional Arabic" w:hAnsi="Traditional Arabic" w:cs="Traditional Arabic" w:eastAsia="Traditional Arabic"/>
          <w:rtl/>
        </w:rPr>
        <w:t xml:space="preserve">والموضع الثالث في تكملة المجموع، في كلامه على حال الخمر قبل تحريمها، ثم قال بعد إيراد الأدلة المتعارضة: "فإن ثبت أنها كانت مباحة ظهر الرد على صاحب الوجه المذكور، وإن ثبت أنها كانت باقية على حكم الأصل، والأصل أن لا حكم قبل الشرع، فيبقى النظر".</w:t>
      </w:r>
      <w:r>
        <w:rPr>
          <w:rStyle w:val="FootnoteReference"/>
          <w:rFonts w:ascii="Traditional Arabic" w:hAnsi="Traditional Arabic" w:cs="Traditional Arabic" w:eastAsia="Traditional Arabic"/>
          <w:rtl/>
        </w:rPr>
        <w:footnoteReference w:id="35"/>
      </w:r>
    </w:p>
    <w:p>
      <w:pPr>
        <w:pStyle w:val="BodyText1"/>
      </w:pPr>
      <w:r>
        <w:rPr>
          <w:rFonts w:ascii="Traditional Arabic" w:hAnsi="Traditional Arabic" w:cs="Traditional Arabic" w:eastAsia="Traditional Arabic"/>
          <w:rtl/>
        </w:rPr>
        <w:t xml:space="preserve">والموضع الرابع في الإبهاج، في القسم الذي تنص عبارة التاج على أنه لوالده، وهو ما بين قوله: "وقد وصل والدي الشيخ الإمام جزاه الله الخير إلى مسألة مقدمة الواجب، ونحن نتلوه"، وقوله بعد ذلك: "قلت: هذا ما وقف عنده والدي أطال الله عمره، ومن هنا أبتدئ".</w:t>
      </w:r>
      <w:r>
        <w:rPr>
          <w:rStyle w:val="FootnoteReference"/>
          <w:rFonts w:ascii="Traditional Arabic" w:hAnsi="Traditional Arabic" w:cs="Traditional Arabic" w:eastAsia="Traditional Arabic"/>
          <w:rtl/>
        </w:rPr>
        <w:footnoteReference w:id="36"/>
      </w:r>
      <w:r>
        <w:rPr>
          <w:rFonts w:ascii="Traditional Arabic" w:hAnsi="Traditional Arabic" w:cs="Traditional Arabic" w:eastAsia="Traditional Arabic"/>
          <w:rtl/>
        </w:rPr>
        <w:t xml:space="preserve"> وفي هذا القسم عد الشيخ العقل مما يتوقف عليه الوجوب فقال: "فالذي من فعل الله تعالى ويتوقف عليه الوجوب: كالعقل وسلامة الأعضاء التي بها الفعل".</w:t>
      </w:r>
      <w:r>
        <w:rPr>
          <w:rStyle w:val="FootnoteReference"/>
          <w:rFonts w:ascii="Traditional Arabic" w:hAnsi="Traditional Arabic" w:cs="Traditional Arabic" w:eastAsia="Traditional Arabic"/>
          <w:rtl/>
        </w:rPr>
        <w:footnoteReference w:id="37"/>
      </w:r>
    </w:p>
    <w:p>
      <w:pPr>
        <w:pStyle w:val="BodyText1"/>
      </w:pPr>
      <w:r>
        <w:rPr>
          <w:rFonts w:ascii="Traditional Arabic" w:hAnsi="Traditional Arabic" w:cs="Traditional Arabic" w:eastAsia="Traditional Arabic"/>
          <w:rtl/>
        </w:rPr>
        <w:t xml:space="preserve">#٥ تفكيك النص إلى عناصره</w:t>
      </w:r>
    </w:p>
    <w:p>
      <w:pPr>
        <w:pStyle w:val="BodyText1"/>
      </w:pPr>
      <w:r>
        <w:rPr>
          <w:rFonts w:ascii="Traditional Arabic" w:hAnsi="Traditional Arabic" w:cs="Traditional Arabic" w:eastAsia="Traditional Arabic"/>
          <w:rtl/>
        </w:rPr>
        <w:t xml:space="preserve">وإذا فككت هذه النصوص ظهرت فيها عناصر أحصيتها ستة:</w:t>
      </w:r>
    </w:p>
    <w:p>
      <w:pPr>
        <w:pStyle w:val="BodyText1"/>
      </w:pPr>
      <w:r>
        <w:rPr>
          <w:rFonts w:ascii="Traditional Arabic" w:hAnsi="Traditional Arabic" w:cs="Traditional Arabic" w:eastAsia="Traditional Arabic"/>
          <w:rtl/>
        </w:rPr>
        <w:t xml:space="preserve">أ - أن التكليف والتعذيب مشروطان بالرسول، وأن توقيف التكليف على الرسول إنما هو في الأمم التي فيها الرسل، لا في كل مكلف.</w:t>
      </w:r>
    </w:p>
    <w:p>
      <w:pPr>
        <w:pStyle w:val="BodyText1"/>
      </w:pPr>
      <w:r>
        <w:rPr>
          <w:rFonts w:ascii="Traditional Arabic" w:hAnsi="Traditional Arabic" w:cs="Traditional Arabic" w:eastAsia="Traditional Arabic"/>
          <w:rtl/>
        </w:rPr>
        <w:t xml:space="preserve">ب - أن إبليس مكلف معذب قبل أن يأتيه رسول، وأنه بذلك مورد على قاعدة {وما كنا معذبين حتى نبعث رسولا}، وأن هذا مما «لا خلاف» فيه.</w:t>
      </w:r>
    </w:p>
    <w:p>
      <w:pPr>
        <w:pStyle w:val="BodyText1"/>
      </w:pPr>
      <w:r>
        <w:rPr>
          <w:rFonts w:ascii="Traditional Arabic" w:hAnsi="Traditional Arabic" w:cs="Traditional Arabic" w:eastAsia="Traditional Arabic"/>
          <w:rtl/>
        </w:rPr>
        <w:t xml:space="preserve">ج - أن الجواب عن هذا الإيراد عنده يتعدد، فمنه تخصيص الآية، ومنه القول بأن العقل قائم مقام الرسول - وهذا مأخذ المعتزلة ومن يثبت الأحكام بالعقل - ومنه أن الرسول قد يكون من الملائكة، ومنه أن التكليف يحصل بسماع كلام الله تعالى أو بخلق علم ضروري.</w:t>
      </w:r>
    </w:p>
    <w:p>
      <w:pPr>
        <w:pStyle w:val="BodyText1"/>
      </w:pPr>
      <w:r>
        <w:rPr>
          <w:rFonts w:ascii="Traditional Arabic" w:hAnsi="Traditional Arabic" w:cs="Traditional Arabic" w:eastAsia="Traditional Arabic"/>
          <w:rtl/>
        </w:rPr>
        <w:t xml:space="preserve">د - أن الأصل الذي يبني عليه هو «مذهبنا» أن الأحكام كلها - أصولها وفروعها - لا تثبت إلا بالشرع، وأن المعتزلة يخالفون في هذا فيثبتونها بالعقل.</w:t>
      </w:r>
    </w:p>
    <w:p>
      <w:pPr>
        <w:pStyle w:val="BodyText1"/>
      </w:pPr>
      <w:r>
        <w:rPr>
          <w:rFonts w:ascii="Traditional Arabic" w:hAnsi="Traditional Arabic" w:cs="Traditional Arabic" w:eastAsia="Traditional Arabic"/>
          <w:rtl/>
        </w:rPr>
        <w:t xml:space="preserve">هـ - أن القول بأن «الأصل أن لا حكم قبل الشرع» ثابت عنده في الفقه كما هو ثابت في الأصول، يرجع إليه عند تعارض الأدلة في حال المسألة قبل ورود الحكم.</w:t>
      </w:r>
    </w:p>
    <w:p>
      <w:pPr>
        <w:pStyle w:val="BodyText1"/>
      </w:pPr>
      <w:r>
        <w:rPr>
          <w:rFonts w:ascii="Traditional Arabic" w:hAnsi="Traditional Arabic" w:cs="Traditional Arabic" w:eastAsia="Traditional Arabic"/>
          <w:rtl/>
        </w:rPr>
        <w:t xml:space="preserve">و - أن عدم ثبوت الأحكام بالعقل لا يعني إلغاء العقل: فكل ما استحال في العقل استحال في الشرع، والعقل مما يتوقف عليه الوجوب شرطا لا مصدرا.</w:t>
      </w:r>
    </w:p>
    <w:p>
      <w:pPr>
        <w:pStyle w:val="BodyText1"/>
      </w:pPr>
      <w:r>
        <w:rPr>
          <w:rFonts w:ascii="Traditional Arabic" w:hAnsi="Traditional Arabic" w:cs="Traditional Arabic" w:eastAsia="Traditional Arabic"/>
          <w:rtl/>
        </w:rPr>
        <w:t xml:space="preserve">ويؤخذ من اجتماع هذه المواضع في ثلاثة فنون - التفسير والفقه والأصول - أن المسألة عنده قاعدة مطردة لا مسألة عارضة: فهو يبني عليها جوابه في عموم الرسالة، ويرجع إليها في حكم الخمر قبل التحريم، ويقررها في موضعها من الإبهاج حين يعد ما يتوقف عليه الوجوب.</w:t>
      </w:r>
    </w:p>
    <w:p>
      <w:pPr>
        <w:pStyle w:val="BodyText1"/>
      </w:pPr>
      <w:r>
        <w:rPr>
          <w:rFonts w:ascii="Traditional Arabic" w:hAnsi="Traditional Arabic" w:cs="Traditional Arabic" w:eastAsia="Traditional Arabic"/>
          <w:rtl/>
        </w:rPr>
        <w:t xml:space="preserve">#٤ ثانيا: صياغة القاعدة ومعناها</w:t>
      </w:r>
    </w:p>
    <w:p>
      <w:pPr>
        <w:pStyle w:val="BodyText1"/>
      </w:pPr>
      <w:r>
        <w:rPr>
          <w:rFonts w:ascii="Traditional Arabic" w:hAnsi="Traditional Arabic" w:cs="Traditional Arabic" w:eastAsia="Traditional Arabic"/>
          <w:rtl/>
        </w:rPr>
        <w:t xml:space="preserve">(الأحكام كلها - أصولها وفروعها - لا تثبت إلا بالشرع؛ فلا تكليف ولا تعذيب قبل البعثة، والعقل مدرك لما يدخل تحت الأحكام لا حاكم بها)</w:t>
      </w:r>
    </w:p>
    <w:p>
      <w:pPr>
        <w:pStyle w:val="BodyText1"/>
      </w:pPr>
      <w:r>
        <w:rPr>
          <w:rFonts w:ascii="Traditional Arabic" w:hAnsi="Traditional Arabic" w:cs="Traditional Arabic" w:eastAsia="Traditional Arabic"/>
          <w:rtl/>
        </w:rPr>
        <w:t xml:space="preserve">وهذه صياغتي لمجموع ما تقدم، وليست لفظا له، وأرجو أن تكون جامعة لعناصره الستة. ومعناها أن الحكم الشرعي إنما يثبت بالخطاب الوارد من الشارع على ألسنة الرسل، وأن العقل وإن أدرك به المكلف صفات الأفعال في الجملة فلا يتعلق به تكليف ولا عقاب في الدنيا ولا في الآخرة من غير أن يبعث الله رسولا. وقد تضمنت هذه الصياغة ثلاثة أركان: الأول أن الحكم لا يثبت إلا بالشرع، والثاني أن التعذيب لا يكون إلا بعد البعثة، والثالث أن العقل مدرك لا حاكم.</w:t>
      </w:r>
    </w:p>
    <w:p>
      <w:pPr>
        <w:pStyle w:val="BodyText1"/>
      </w:pPr>
      <w:r>
        <w:rPr>
          <w:rFonts w:ascii="Traditional Arabic" w:hAnsi="Traditional Arabic" w:cs="Traditional Arabic" w:eastAsia="Traditional Arabic"/>
          <w:rtl/>
        </w:rPr>
        <w:t xml:space="preserve">فأما الركن الأول فهو الذي صرح به في قوله: "الأحكام كلها أصولها وفروعها لا تثبت إلا بالشرع".</w:t>
      </w:r>
      <w:r>
        <w:rPr>
          <w:rStyle w:val="FootnoteReference"/>
          <w:rFonts w:ascii="Traditional Arabic" w:hAnsi="Traditional Arabic" w:cs="Traditional Arabic" w:eastAsia="Traditional Arabic"/>
          <w:rtl/>
        </w:rPr>
        <w:footnoteReference w:id="38"/>
      </w:r>
      <w:r>
        <w:rPr>
          <w:rFonts w:ascii="Traditional Arabic" w:hAnsi="Traditional Arabic" w:cs="Traditional Arabic" w:eastAsia="Traditional Arabic"/>
          <w:rtl/>
        </w:rPr>
        <w:t xml:space="preserve"> وهو بعينه مذهب الأشاعرة الذي قرره الآمدي بقوله: "لا حاكم سوى الله تعالى، ولا حكم إلا ما حكم به".</w:t>
      </w:r>
      <w:r>
        <w:rPr>
          <w:rStyle w:val="FootnoteReference"/>
          <w:rFonts w:ascii="Traditional Arabic" w:hAnsi="Traditional Arabic" w:cs="Traditional Arabic" w:eastAsia="Traditional Arabic"/>
          <w:rtl/>
        </w:rPr>
        <w:footnoteReference w:id="39"/>
      </w:r>
      <w:r>
        <w:rPr>
          <w:rFonts w:ascii="Traditional Arabic" w:hAnsi="Traditional Arabic" w:cs="Traditional Arabic" w:eastAsia="Traditional Arabic"/>
          <w:rtl/>
        </w:rPr>
        <w:t xml:space="preserve"> وقد عد تقي الدين السبكي هذا الأصل مذهبا لهم ونسبه إلى نفسه معهم فقال: «على مذهبنا».</w:t>
      </w:r>
    </w:p>
    <w:p>
      <w:pPr>
        <w:pStyle w:val="BodyText1"/>
      </w:pPr>
      <w:r>
        <w:rPr>
          <w:rFonts w:ascii="Traditional Arabic" w:hAnsi="Traditional Arabic" w:cs="Traditional Arabic" w:eastAsia="Traditional Arabic"/>
          <w:rtl/>
        </w:rPr>
        <w:t xml:space="preserve">وأما الركن الثاني فيظهر لي أنه مقتضى صنيعه في الجواب؛ إذ جعل تعذيب إبليس قبل مجيء الرسول موضع إشكال يطلب له مخرجا، فعد خمسة مخارج، ولو كان التعذيب قبل الرسول جائزا عنده لما احتاج إلى شيء من ذلك. والله أعلم.</w:t>
      </w:r>
    </w:p>
    <w:p>
      <w:pPr>
        <w:pStyle w:val="BodyText1"/>
      </w:pPr>
      <w:r>
        <w:rPr>
          <w:rFonts w:ascii="Traditional Arabic" w:hAnsi="Traditional Arabic" w:cs="Traditional Arabic" w:eastAsia="Traditional Arabic"/>
          <w:rtl/>
        </w:rPr>
        <w:t xml:space="preserve">وأما الركن الثالث فمأخوذ من قوله: «كل ما استحال في العقل استحال في الشرع»؛ فإن هذه العبارة تمنع أن يعد القول بأن الأحكام لا تثبت إلا بالشرع تعطيلا للعقل، وتدل على أن للعقل في تصوره مجالا في الإدراك، ولا يتعدى به إلى الحكم.</w:t>
      </w:r>
    </w:p>
    <w:p>
      <w:pPr>
        <w:pStyle w:val="BodyText1"/>
      </w:pPr>
      <w:r>
        <w:rPr>
          <w:rFonts w:ascii="Traditional Arabic" w:hAnsi="Traditional Arabic" w:cs="Traditional Arabic" w:eastAsia="Traditional Arabic"/>
          <w:rtl/>
        </w:rPr>
        <w:t xml:space="preserve">#٥ القواعد الأخص المتفرعة عن القاعدة</w:t>
      </w:r>
    </w:p>
    <w:p>
      <w:pPr>
        <w:pStyle w:val="BodyText1"/>
      </w:pPr>
      <w:r>
        <w:rPr>
          <w:rFonts w:ascii="Traditional Arabic" w:hAnsi="Traditional Arabic" w:cs="Traditional Arabic" w:eastAsia="Traditional Arabic"/>
          <w:rtl/>
        </w:rPr>
        <w:t xml:space="preserve">وفي النصوص التي ذكرتها قواعد أخص متفرعة عن هذه القاعدة، منها: أن «الأصل أن لا حكم قبل الشرع»؛ وأن توقيف التكليف على الرسول يختص بالأمم التي فيها الرسل؛ وأن الاستحالة العقلية استحالة شرعية؛ وأن العقل شرط في الوجوب وليس موجبا. وسيأتي بيان وجه كل منها في موضعه.</w:t>
      </w:r>
    </w:p>
    <w:p>
      <w:pPr>
        <w:pStyle w:val="BodyText1"/>
      </w:pPr>
      <w:r>
        <w:rPr>
          <w:rFonts w:ascii="Traditional Arabic" w:hAnsi="Traditional Arabic" w:cs="Traditional Arabic" w:eastAsia="Traditional Arabic"/>
          <w:rtl/>
        </w:rPr>
        <w:t xml:space="preserve">#٤ ثالثا: تحرير محل النزاع والأقوال</w:t>
      </w:r>
    </w:p>
    <w:p>
      <w:pPr>
        <w:pStyle w:val="BodyText1"/>
      </w:pPr>
      <w:r>
        <w:rPr>
          <w:rFonts w:ascii="Traditional Arabic" w:hAnsi="Traditional Arabic" w:cs="Traditional Arabic" w:eastAsia="Traditional Arabic"/>
          <w:rtl/>
        </w:rPr>
        <w:t xml:space="preserve">#٥ أ - موضع الاتفاق</w:t>
      </w:r>
    </w:p>
    <w:p>
      <w:pPr>
        <w:pStyle w:val="BodyText1"/>
      </w:pPr>
      <w:r>
        <w:rPr>
          <w:rFonts w:ascii="Traditional Arabic" w:hAnsi="Traditional Arabic" w:cs="Traditional Arabic" w:eastAsia="Traditional Arabic"/>
          <w:rtl/>
        </w:rPr>
        <w:t xml:space="preserve">يتفق المتنازعون في هذه المسألة على أمور، ينبغي تقديمها حتى لا يحمل الخلاف على غير موضعه. فهم متفقون أولا على أن الحاكم هو الله تعالى؛ قال صاحب تيسير التحرير: "الحاكم لا خلاف في أنه الله رب العالمين".</w:t>
      </w:r>
      <w:r>
        <w:rPr>
          <w:rStyle w:val="FootnoteReference"/>
          <w:rFonts w:ascii="Traditional Arabic" w:hAnsi="Traditional Arabic" w:cs="Traditional Arabic" w:eastAsia="Traditional Arabic"/>
          <w:rtl/>
        </w:rPr>
        <w:footnoteReference w:id="40"/>
      </w:r>
      <w:r>
        <w:rPr>
          <w:rFonts w:ascii="Traditional Arabic" w:hAnsi="Traditional Arabic" w:cs="Traditional Arabic" w:eastAsia="Traditional Arabic"/>
          <w:rtl/>
        </w:rPr>
        <w:t xml:space="preserve"> ولا يخرج عن ذلك المعتزلة عند من حرر مذهبهم، فقد قال الزركشي: "وليس مرادهم أن الأوصاف مستقلة بالأحكام، ولا أن العقل يوجب ويحرم، وهذا هو الحق في تقرير مذهبهم وتلخيص النزاع".</w:t>
      </w:r>
      <w:r>
        <w:rPr>
          <w:rStyle w:val="FootnoteReference"/>
          <w:rFonts w:ascii="Traditional Arabic" w:hAnsi="Traditional Arabic" w:cs="Traditional Arabic" w:eastAsia="Traditional Arabic"/>
          <w:rtl/>
        </w:rPr>
        <w:footnoteReference w:id="41"/>
      </w:r>
      <w:r>
        <w:rPr>
          <w:rFonts w:ascii="Traditional Arabic" w:hAnsi="Traditional Arabic" w:cs="Traditional Arabic" w:eastAsia="Traditional Arabic"/>
          <w:rtl/>
        </w:rPr>
        <w:t xml:space="preserve"> وتاج الدين السبكي نفسه عبر عن مذهبهم بأن العقل "له صلاحية الكشف" عن الحسن والقبح،</w:t>
      </w:r>
      <w:r>
        <w:rPr>
          <w:rStyle w:val="FootnoteReference"/>
          <w:rFonts w:ascii="Traditional Arabic" w:hAnsi="Traditional Arabic" w:cs="Traditional Arabic" w:eastAsia="Traditional Arabic"/>
          <w:rtl/>
        </w:rPr>
        <w:footnoteReference w:id="42"/>
      </w:r>
      <w:r>
        <w:rPr>
          <w:rFonts w:ascii="Traditional Arabic" w:hAnsi="Traditional Arabic" w:cs="Traditional Arabic" w:eastAsia="Traditional Arabic"/>
          <w:rtl/>
        </w:rPr>
        <w:t xml:space="preserve"> وهو لفظ يدل على أن الكاشف غير الحاكم.</w:t>
      </w:r>
    </w:p>
    <w:p>
      <w:pPr>
        <w:pStyle w:val="BodyText1"/>
      </w:pPr>
      <w:r>
        <w:rPr>
          <w:rFonts w:ascii="Traditional Arabic" w:hAnsi="Traditional Arabic" w:cs="Traditional Arabic" w:eastAsia="Traditional Arabic"/>
          <w:rtl/>
        </w:rPr>
        <w:t xml:space="preserve">ومتفقون ثانيا على أن الحسن والقبح بمعنى ملاءمة الطبع ومنافرته، وبمعنى الكمال والنقص، يدركهما العقل؛ ونقل القرافي ذلك إجماعا بقوله: "والأولان عقليان إجماعا".</w:t>
      </w:r>
      <w:r>
        <w:rPr>
          <w:rStyle w:val="FootnoteReference"/>
          <w:rFonts w:ascii="Traditional Arabic" w:hAnsi="Traditional Arabic" w:cs="Traditional Arabic" w:eastAsia="Traditional Arabic"/>
          <w:rtl/>
        </w:rPr>
        <w:footnoteReference w:id="43"/>
      </w:r>
      <w:r>
        <w:rPr>
          <w:rFonts w:ascii="Traditional Arabic" w:hAnsi="Traditional Arabic" w:cs="Traditional Arabic" w:eastAsia="Traditional Arabic"/>
          <w:rtl/>
        </w:rPr>
        <w:t xml:space="preserve"> ووافقه تاج الدين السبكي بقوله: "لا نزاع في كونهما عقليين".</w:t>
      </w:r>
      <w:r>
        <w:rPr>
          <w:rStyle w:val="FootnoteReference"/>
          <w:rFonts w:ascii="Traditional Arabic" w:hAnsi="Traditional Arabic" w:cs="Traditional Arabic" w:eastAsia="Traditional Arabic"/>
          <w:rtl/>
        </w:rPr>
        <w:footnoteReference w:id="44"/>
      </w:r>
      <w:r>
        <w:rPr>
          <w:rFonts w:ascii="Traditional Arabic" w:hAnsi="Traditional Arabic" w:cs="Traditional Arabic" w:eastAsia="Traditional Arabic"/>
          <w:rtl/>
        </w:rPr>
        <w:t xml:space="preserve"> وقد نص على ذلك الحنفية أيضا في تيسير التحرير.</w:t>
      </w:r>
      <w:r>
        <w:rPr>
          <w:rStyle w:val="FootnoteReference"/>
          <w:rFonts w:ascii="Traditional Arabic" w:hAnsi="Traditional Arabic" w:cs="Traditional Arabic" w:eastAsia="Traditional Arabic"/>
          <w:rtl/>
        </w:rPr>
        <w:footnoteReference w:id="45"/>
      </w:r>
      <w:r>
        <w:rPr>
          <w:rFonts w:ascii="Traditional Arabic" w:hAnsi="Traditional Arabic" w:cs="Traditional Arabic" w:eastAsia="Traditional Arabic"/>
          <w:rtl/>
        </w:rPr>
        <w:t xml:space="preserve"> وهذا يعني أن الأشاعرة حين يقولون «العقل لا يحسن ولا يقبح» لا يقصدون نفي هذين المعنيين، وإنما يقصدون المعنى الثالث.</w:t>
      </w:r>
    </w:p>
    <w:p>
      <w:pPr>
        <w:pStyle w:val="BodyText1"/>
      </w:pPr>
      <w:r>
        <w:rPr>
          <w:rFonts w:ascii="Traditional Arabic" w:hAnsi="Traditional Arabic" w:cs="Traditional Arabic" w:eastAsia="Traditional Arabic"/>
          <w:rtl/>
        </w:rPr>
        <w:t xml:space="preserve">ومتفقون ثالثا على أن شكر المنعم واجب بالشرع؛ ففي الإبهاج: "وأما وجوبه شرعا فمتفق عليه".</w:t>
      </w:r>
      <w:r>
        <w:rPr>
          <w:rStyle w:val="FootnoteReference"/>
          <w:rFonts w:ascii="Traditional Arabic" w:hAnsi="Traditional Arabic" w:cs="Traditional Arabic" w:eastAsia="Traditional Arabic"/>
          <w:rtl/>
        </w:rPr>
        <w:footnoteReference w:id="46"/>
      </w:r>
      <w:r>
        <w:rPr>
          <w:rFonts w:ascii="Traditional Arabic" w:hAnsi="Traditional Arabic" w:cs="Traditional Arabic" w:eastAsia="Traditional Arabic"/>
          <w:rtl/>
        </w:rPr>
        <w:t xml:space="preserve"> ومتفقون رابعا على أن العقل شرط في أهلية الخطاب، فهو - كما قال صاحب كشف الأسرار - "معتبر لإثبات الأهلية أي أهلية الخطاب إذ الخطاب لا يفهم بدون العقل"،</w:t>
      </w:r>
      <w:r>
        <w:rPr>
          <w:rStyle w:val="FootnoteReference"/>
          <w:rFonts w:ascii="Traditional Arabic" w:hAnsi="Traditional Arabic" w:cs="Traditional Arabic" w:eastAsia="Traditional Arabic"/>
          <w:rtl/>
        </w:rPr>
        <w:footnoteReference w:id="47"/>
      </w:r>
      <w:r>
        <w:rPr>
          <w:rFonts w:ascii="Traditional Arabic" w:hAnsi="Traditional Arabic" w:cs="Traditional Arabic" w:eastAsia="Traditional Arabic"/>
          <w:rtl/>
        </w:rPr>
        <w:t xml:space="preserve"> وهو ما نص عليه تقي الدين السبكي فيما تقدم، من أن العقل مما يتوقف عليه الوجوب.</w:t>
      </w:r>
      <w:r>
        <w:rPr>
          <w:rStyle w:val="FootnoteReference"/>
          <w:rFonts w:ascii="Traditional Arabic" w:hAnsi="Traditional Arabic" w:cs="Traditional Arabic" w:eastAsia="Traditional Arabic"/>
          <w:rtl/>
        </w:rPr>
        <w:footnoteReference w:id="48"/>
      </w:r>
    </w:p>
    <w:p>
      <w:pPr>
        <w:pStyle w:val="BodyText1"/>
      </w:pPr>
      <w:r>
        <w:rPr>
          <w:rFonts w:ascii="Traditional Arabic" w:hAnsi="Traditional Arabic" w:cs="Traditional Arabic" w:eastAsia="Traditional Arabic"/>
          <w:rtl/>
        </w:rPr>
        <w:t xml:space="preserve">#٥ ب - موضع النزاع</w:t>
      </w:r>
    </w:p>
    <w:p>
      <w:pPr>
        <w:pStyle w:val="BodyText1"/>
      </w:pPr>
      <w:r>
        <w:rPr>
          <w:rFonts w:ascii="Traditional Arabic" w:hAnsi="Traditional Arabic" w:cs="Traditional Arabic" w:eastAsia="Traditional Arabic"/>
          <w:rtl/>
        </w:rPr>
        <w:t xml:space="preserve">فإذا انتهى الاتفاق إلى ما ذكرت، تعين أن النزاع في المعنى الثالث: ترتب المدح والذم، والثواب والعقاب، على الفعل قبل ورود الشرع. وقد قرر ذلك صاحب تيسير التحرير بقوله: "بل النزاع فيهما أي في إدراك العقل الحسن والقبح بمعنى استحقاق مدحه تعالى وثوابه" للفاعل على الفعل، "ومقابلهما أي وبمعنى استحقاق ذمه تعالى وعقابه".</w:t>
      </w:r>
      <w:r>
        <w:rPr>
          <w:rStyle w:val="FootnoteReference"/>
          <w:rFonts w:ascii="Traditional Arabic" w:hAnsi="Traditional Arabic" w:cs="Traditional Arabic" w:eastAsia="Traditional Arabic"/>
          <w:rtl/>
        </w:rPr>
        <w:footnoteReference w:id="49"/>
      </w:r>
      <w:r>
        <w:rPr>
          <w:rFonts w:ascii="Traditional Arabic" w:hAnsi="Traditional Arabic" w:cs="Traditional Arabic" w:eastAsia="Traditional Arabic"/>
          <w:rtl/>
        </w:rPr>
        <w:t xml:space="preserve"> وقرره الزركشي بقوله: "إنما النزاع في كون الفعل متعلقا بالمؤاخذة الشرعية كيف كانت ذما أو غيره عاجلة أو آجلة هل يستقل العقل بذلك أم لا".</w:t>
      </w:r>
      <w:r>
        <w:rPr>
          <w:rStyle w:val="FootnoteReference"/>
          <w:rFonts w:ascii="Traditional Arabic" w:hAnsi="Traditional Arabic" w:cs="Traditional Arabic" w:eastAsia="Traditional Arabic"/>
          <w:rtl/>
        </w:rPr>
        <w:footnoteReference w:id="50"/>
      </w:r>
      <w:r>
        <w:rPr>
          <w:rFonts w:ascii="Traditional Arabic" w:hAnsi="Traditional Arabic" w:cs="Traditional Arabic" w:eastAsia="Traditional Arabic"/>
          <w:rtl/>
        </w:rPr>
        <w:t xml:space="preserve"> وقال في موضع آخر: "قد تقرر مما سبق أن محل النزاع إنما هو في الحسن والقبح بمعنى ترتب الثواب والعقاب".</w:t>
      </w:r>
      <w:r>
        <w:rPr>
          <w:rStyle w:val="FootnoteReference"/>
          <w:rFonts w:ascii="Traditional Arabic" w:hAnsi="Traditional Arabic" w:cs="Traditional Arabic" w:eastAsia="Traditional Arabic"/>
          <w:rtl/>
        </w:rPr>
        <w:footnoteReference w:id="51"/>
      </w:r>
    </w:p>
    <w:p>
      <w:pPr>
        <w:pStyle w:val="BodyText1"/>
      </w:pPr>
      <w:r>
        <w:rPr>
          <w:rFonts w:ascii="Traditional Arabic" w:hAnsi="Traditional Arabic" w:cs="Traditional Arabic" w:eastAsia="Traditional Arabic"/>
          <w:rtl/>
        </w:rPr>
        <w:t xml:space="preserve">ويمكن أن يرد النزاع إلى ثلاثة أسئلة يتميز بها كل قول: الأول: هل الفعل متصف في نفسه بصفة تقتضي حسنه أو قبحه، أو أن الحسن والقبح مجرد تعلق الأمر والنهي به. والثاني: هل يدرك العقل هذه الصفة من غير سمع. والثالث: هل يستلزم هذا الإدراك حكما أو ثوابا أو عقابا.</w:t>
      </w:r>
    </w:p>
    <w:p>
      <w:pPr>
        <w:pStyle w:val="BodyText1"/>
      </w:pPr>
      <w:r>
        <w:rPr>
          <w:rFonts w:ascii="Traditional Arabic" w:hAnsi="Traditional Arabic" w:cs="Traditional Arabic" w:eastAsia="Traditional Arabic"/>
          <w:rtl/>
        </w:rPr>
        <w:t xml:space="preserve">#٥ ج - الأقوال</w:t>
      </w:r>
    </w:p>
    <w:p>
      <w:pPr>
        <w:pStyle w:val="BodyText1"/>
      </w:pPr>
      <w:r>
        <w:rPr>
          <w:rFonts w:ascii="Traditional Arabic" w:hAnsi="Traditional Arabic" w:cs="Traditional Arabic" w:eastAsia="Traditional Arabic"/>
          <w:rtl/>
        </w:rPr>
        <w:t xml:space="preserve">وللعلماء في المسألة ثلاثة أقوال كبرى، ذكرها الزركشي بقوله: "أحدها: أن حسن الأشياء وقبحها والثواب والعقاب عليها شرعيان، وهو قول الأشعرية، والثاني: عقليان وهو قول المعتزلة. والثالث: أن حسنها وقبحها ثابت بالعقل، والثواب والعقاب يتوقف على الشرع".</w:t>
      </w:r>
      <w:r>
        <w:rPr>
          <w:rStyle w:val="FootnoteReference"/>
          <w:rFonts w:ascii="Traditional Arabic" w:hAnsi="Traditional Arabic" w:cs="Traditional Arabic" w:eastAsia="Traditional Arabic"/>
          <w:rtl/>
        </w:rPr>
        <w:footnoteReference w:id="52"/>
      </w:r>
      <w:r>
        <w:rPr>
          <w:rFonts w:ascii="Traditional Arabic" w:hAnsi="Traditional Arabic" w:cs="Traditional Arabic" w:eastAsia="Traditional Arabic"/>
          <w:rtl/>
        </w:rPr>
        <w:t xml:space="preserve"> وهي بعينها الأقوال الثلاثة عند ابن تيمية.</w:t>
      </w:r>
      <w:r>
        <w:rPr>
          <w:rStyle w:val="FootnoteReference"/>
          <w:rFonts w:ascii="Traditional Arabic" w:hAnsi="Traditional Arabic" w:cs="Traditional Arabic" w:eastAsia="Traditional Arabic"/>
          <w:rtl/>
        </w:rPr>
        <w:footnoteReference w:id="53"/>
      </w:r>
    </w:p>
    <w:p>
      <w:pPr>
        <w:pStyle w:val="BodyText1"/>
      </w:pPr>
      <w:r>
        <w:rPr>
          <w:rFonts w:ascii="Traditional Arabic" w:hAnsi="Traditional Arabic" w:cs="Traditional Arabic" w:eastAsia="Traditional Arabic"/>
          <w:rtl/>
        </w:rPr>
        <w:t xml:space="preserve">فالقول الأول - وهو قول الأشاعرة - يرى أن الفعل لا يتصف في نفسه بحسن ولا قبح بمعنى ترتب المدح والذم والثواب والعقاب، وأن الحكم خطاب الشارع. قال الجويني: "ثم من أحكام الشرع التقبيح والتحسين وهما راجعان إلى الأمر والنهي فلا يقبح شيء في حكم الله تعالى لعينه كما لا يحسن شيء لعينه".</w:t>
      </w:r>
      <w:r>
        <w:rPr>
          <w:rStyle w:val="FootnoteReference"/>
          <w:rFonts w:ascii="Traditional Arabic" w:hAnsi="Traditional Arabic" w:cs="Traditional Arabic" w:eastAsia="Traditional Arabic"/>
          <w:rtl/>
        </w:rPr>
        <w:footnoteReference w:id="54"/>
      </w:r>
      <w:r>
        <w:rPr>
          <w:rFonts w:ascii="Traditional Arabic" w:hAnsi="Traditional Arabic" w:cs="Traditional Arabic" w:eastAsia="Traditional Arabic"/>
          <w:rtl/>
        </w:rPr>
        <w:t xml:space="preserve"> وقال الغزالي: "فإن لم يوجد هذا الخطاب من الشارع فلا حكم، فلهذا قلنا العقل لا يحسن ولا يقبح ولا يوجب شكر المنعم، ولا حكم للأفعال قبل ورود الشرع".</w:t>
      </w:r>
      <w:r>
        <w:rPr>
          <w:rStyle w:val="FootnoteReference"/>
          <w:rFonts w:ascii="Traditional Arabic" w:hAnsi="Traditional Arabic" w:cs="Traditional Arabic" w:eastAsia="Traditional Arabic"/>
          <w:rtl/>
        </w:rPr>
        <w:footnoteReference w:id="55"/>
      </w:r>
      <w:r>
        <w:rPr>
          <w:rFonts w:ascii="Traditional Arabic" w:hAnsi="Traditional Arabic" w:cs="Traditional Arabic" w:eastAsia="Traditional Arabic"/>
          <w:rtl/>
        </w:rPr>
        <w:t xml:space="preserve"> وقال الآمدي: "لا حاكم سوى الله تعالى، ولا حكم إلا ما حكم به، ويتفرع عليه أن العقل لا يحسن ولا يقبح ولا يوجب شكر المنعم، وأنه لا حكم قبل ورود الشرع".</w:t>
      </w:r>
      <w:r>
        <w:rPr>
          <w:rStyle w:val="FootnoteReference"/>
          <w:rFonts w:ascii="Traditional Arabic" w:hAnsi="Traditional Arabic" w:cs="Traditional Arabic" w:eastAsia="Traditional Arabic"/>
          <w:rtl/>
        </w:rPr>
        <w:footnoteReference w:id="56"/>
      </w:r>
      <w:r>
        <w:rPr>
          <w:rFonts w:ascii="Traditional Arabic" w:hAnsi="Traditional Arabic" w:cs="Traditional Arabic" w:eastAsia="Traditional Arabic"/>
          <w:rtl/>
        </w:rPr>
        <w:t xml:space="preserve"> وقال القرافي: "وعندنا الشرائع الواردة منشئة للجميع، فعلى رأينا لا يثبت حكم قبل الشرع".</w:t>
      </w:r>
      <w:r>
        <w:rPr>
          <w:rStyle w:val="FootnoteReference"/>
          <w:rFonts w:ascii="Traditional Arabic" w:hAnsi="Traditional Arabic" w:cs="Traditional Arabic" w:eastAsia="Traditional Arabic"/>
          <w:rtl/>
        </w:rPr>
        <w:footnoteReference w:id="57"/>
      </w:r>
      <w:r>
        <w:rPr>
          <w:rFonts w:ascii="Traditional Arabic" w:hAnsi="Traditional Arabic" w:cs="Traditional Arabic" w:eastAsia="Traditional Arabic"/>
          <w:rtl/>
        </w:rPr>
        <w:t xml:space="preserve"> ونسبه ابن تيمية إلى الأشعري "ومن اتبعه من أصحاب مالك والشافعي وأحمد، كالقاضي أبي يعلى وأتباعه".</w:t>
      </w:r>
      <w:r>
        <w:rPr>
          <w:rStyle w:val="FootnoteReference"/>
          <w:rFonts w:ascii="Traditional Arabic" w:hAnsi="Traditional Arabic" w:cs="Traditional Arabic" w:eastAsia="Traditional Arabic"/>
          <w:rtl/>
        </w:rPr>
        <w:footnoteReference w:id="58"/>
      </w:r>
      <w:r>
        <w:rPr>
          <w:rFonts w:ascii="Traditional Arabic" w:hAnsi="Traditional Arabic" w:cs="Traditional Arabic" w:eastAsia="Traditional Arabic"/>
          <w:rtl/>
        </w:rPr>
        <w:t xml:space="preserve"> ونقل المرداوي عن أبي يعلى قوله في الآية: "في هذا دليل على أن معرفة الله تعالى لا تجب عقلا، وإنما تجب بالشرع، وهو بعثة الرسل".</w:t>
      </w:r>
      <w:r>
        <w:rPr>
          <w:rStyle w:val="FootnoteReference"/>
          <w:rFonts w:ascii="Traditional Arabic" w:hAnsi="Traditional Arabic" w:cs="Traditional Arabic" w:eastAsia="Traditional Arabic"/>
          <w:rtl/>
        </w:rPr>
        <w:footnoteReference w:id="59"/>
      </w:r>
      <w:r>
        <w:rPr>
          <w:rFonts w:ascii="Traditional Arabic" w:hAnsi="Traditional Arabic" w:cs="Traditional Arabic" w:eastAsia="Traditional Arabic"/>
          <w:rtl/>
        </w:rPr>
        <w:t xml:space="preserve"> ويلحق بهؤلاء ابن حزم، وإن كان مذهبه أشد، فقد قال: "ولا قبيح إلا ما قبح الله ولا حسن إلا ما حسن الله"، و"إنه لا يلزم أحدا إلا ما ألزمه الله".</w:t>
      </w:r>
      <w:r>
        <w:rPr>
          <w:rStyle w:val="FootnoteReference"/>
          <w:rFonts w:ascii="Traditional Arabic" w:hAnsi="Traditional Arabic" w:cs="Traditional Arabic" w:eastAsia="Traditional Arabic"/>
          <w:rtl/>
        </w:rPr>
        <w:footnoteReference w:id="60"/>
      </w:r>
    </w:p>
    <w:p>
      <w:pPr>
        <w:pStyle w:val="BodyText1"/>
      </w:pPr>
      <w:r>
        <w:rPr>
          <w:rFonts w:ascii="Traditional Arabic" w:hAnsi="Traditional Arabic" w:cs="Traditional Arabic" w:eastAsia="Traditional Arabic"/>
          <w:rtl/>
        </w:rPr>
        <w:t xml:space="preserve">والقول الثاني - وهو قول المعتزلة - يرى أن الأفعال تتصف بالحسن والقبح، وأن العقل يدرك ذلك، وأن الشرع مؤكد لحكمه. نقله القرافي بقوله: "بل العقل يستقل بثبوته قبل الرسل، وإنما الشرائع مؤكدة لحكم العقل فيما علمه ضرورة كالعلم بحسن الصدق النافع وقبح الكذب الضار، أو نظرا كحسن الصدق الضار وقبح الكذب النافع، أو مظهرة لما لا يعلمه العقل ضرورة ولا نظرا".</w:t>
      </w:r>
      <w:r>
        <w:rPr>
          <w:rStyle w:val="FootnoteReference"/>
          <w:rFonts w:ascii="Traditional Arabic" w:hAnsi="Traditional Arabic" w:cs="Traditional Arabic" w:eastAsia="Traditional Arabic"/>
          <w:rtl/>
        </w:rPr>
        <w:footnoteReference w:id="61"/>
      </w:r>
      <w:r>
        <w:rPr>
          <w:rFonts w:ascii="Traditional Arabic" w:hAnsi="Traditional Arabic" w:cs="Traditional Arabic" w:eastAsia="Traditional Arabic"/>
          <w:rtl/>
        </w:rPr>
        <w:t xml:space="preserve"> ولهم في تعليل الحسن والقبح مذاهب، ذكرها صاحب تيسير التحرير: "وهذا عند قدمائهم" لذات الفعل، و"عند طائفة منهم" لصفة توجب ذلك، وأما الجبائية فلوجوه واعتبارات، وقيل - وقائله أبو الحسين - إن القبح لصفة في القبيح فقط، وعدمها كاف في الحسن.</w:t>
      </w:r>
      <w:r>
        <w:rPr>
          <w:rStyle w:val="FootnoteReference"/>
          <w:rFonts w:ascii="Traditional Arabic" w:hAnsi="Traditional Arabic" w:cs="Traditional Arabic" w:eastAsia="Traditional Arabic"/>
          <w:rtl/>
        </w:rPr>
        <w:footnoteReference w:id="62"/>
      </w:r>
      <w:r>
        <w:rPr>
          <w:rFonts w:ascii="Traditional Arabic" w:hAnsi="Traditional Arabic" w:cs="Traditional Arabic" w:eastAsia="Traditional Arabic"/>
          <w:rtl/>
        </w:rPr>
        <w:t xml:space="preserve"> وقد ذكر الجويني اضطراب النقلة عنهم في ذلك، ثم قال: "فمعنى قولهم يقبح ويحسن الشيء لعينه أنه يدرك ذلك عقلا من غير إخبار مخبر".</w:t>
      </w:r>
      <w:r>
        <w:rPr>
          <w:rStyle w:val="FootnoteReference"/>
          <w:rFonts w:ascii="Traditional Arabic" w:hAnsi="Traditional Arabic" w:cs="Traditional Arabic" w:eastAsia="Traditional Arabic"/>
          <w:rtl/>
        </w:rPr>
        <w:footnoteReference w:id="63"/>
      </w:r>
      <w:r>
        <w:rPr>
          <w:rFonts w:ascii="Traditional Arabic" w:hAnsi="Traditional Arabic" w:cs="Traditional Arabic" w:eastAsia="Traditional Arabic"/>
          <w:rtl/>
        </w:rPr>
        <w:t xml:space="preserve"> وأما ما يترتب على الإدراك من العقاب فقد قال ابن القيم فيه: "وأما العقاب فلهم فيه اختلاف وتفصيل".</w:t>
      </w:r>
      <w:r>
        <w:rPr>
          <w:rStyle w:val="FootnoteReference"/>
          <w:rFonts w:ascii="Traditional Arabic" w:hAnsi="Traditional Arabic" w:cs="Traditional Arabic" w:eastAsia="Traditional Arabic"/>
          <w:rtl/>
        </w:rPr>
        <w:footnoteReference w:id="64"/>
      </w:r>
    </w:p>
    <w:p>
      <w:pPr>
        <w:pStyle w:val="BodyText1"/>
      </w:pPr>
      <w:r>
        <w:rPr>
          <w:rFonts w:ascii="Traditional Arabic" w:hAnsi="Traditional Arabic" w:cs="Traditional Arabic" w:eastAsia="Traditional Arabic"/>
          <w:rtl/>
        </w:rPr>
        <w:t xml:space="preserve">والقول الثالث - وهو الوسط - نسبه الزركشي إلى "أسعد بن علي الزنجاني من أصحابنا، وأبو الخطاب من الحنابلة" وإلى الحنفية "وحكوه عن أبي حنيفة نصا"،</w:t>
      </w:r>
      <w:r>
        <w:rPr>
          <w:rStyle w:val="FootnoteReference"/>
          <w:rFonts w:ascii="Traditional Arabic" w:hAnsi="Traditional Arabic" w:cs="Traditional Arabic" w:eastAsia="Traditional Arabic"/>
          <w:rtl/>
        </w:rPr>
        <w:footnoteReference w:id="65"/>
      </w:r>
      <w:r>
        <w:rPr>
          <w:rFonts w:ascii="Traditional Arabic" w:hAnsi="Traditional Arabic" w:cs="Traditional Arabic" w:eastAsia="Traditional Arabic"/>
          <w:rtl/>
        </w:rPr>
        <w:t xml:space="preserve"> وهو القول بأن الحسن والقبح عقليان، لكن الثواب والعقاب لا يترتبان إلا بالشرع. وهو الذي اختاره ابن تيمية فقال: "وهذا أصح الأقوال، وعليه يدل الكتاب والسنة"،</w:t>
      </w:r>
      <w:r>
        <w:rPr>
          <w:rStyle w:val="FootnoteReference"/>
          <w:rFonts w:ascii="Traditional Arabic" w:hAnsi="Traditional Arabic" w:cs="Traditional Arabic" w:eastAsia="Traditional Arabic"/>
          <w:rtl/>
        </w:rPr>
        <w:footnoteReference w:id="66"/>
      </w:r>
      <w:r>
        <w:rPr>
          <w:rFonts w:ascii="Traditional Arabic" w:hAnsi="Traditional Arabic" w:cs="Traditional Arabic" w:eastAsia="Traditional Arabic"/>
          <w:rtl/>
        </w:rPr>
        <w:t xml:space="preserve"> وقال: "وعلى هذا عامة السلف وأكثر المسلمين"،</w:t>
      </w:r>
      <w:r>
        <w:rPr>
          <w:rStyle w:val="FootnoteReference"/>
          <w:rFonts w:ascii="Traditional Arabic" w:hAnsi="Traditional Arabic" w:cs="Traditional Arabic" w:eastAsia="Traditional Arabic"/>
          <w:rtl/>
        </w:rPr>
        <w:footnoteReference w:id="67"/>
      </w:r>
      <w:r>
        <w:rPr>
          <w:rFonts w:ascii="Traditional Arabic" w:hAnsi="Traditional Arabic" w:cs="Traditional Arabic" w:eastAsia="Traditional Arabic"/>
          <w:rtl/>
        </w:rPr>
        <w:t xml:space="preserve"> ونصره ابن القيم بقوله: "فلا تلازم بين ثبوت الحسن والقبح العقليين وبين استحقاق الثواب والعقاب".</w:t>
      </w:r>
      <w:r>
        <w:rPr>
          <w:rStyle w:val="FootnoteReference"/>
          <w:rFonts w:ascii="Traditional Arabic" w:hAnsi="Traditional Arabic" w:cs="Traditional Arabic" w:eastAsia="Traditional Arabic"/>
          <w:rtl/>
        </w:rPr>
        <w:footnoteReference w:id="68"/>
      </w:r>
      <w:r>
        <w:rPr>
          <w:rFonts w:ascii="Traditional Arabic" w:hAnsi="Traditional Arabic" w:cs="Traditional Arabic" w:eastAsia="Traditional Arabic"/>
          <w:rtl/>
        </w:rPr>
        <w:t xml:space="preserve"> وقد قال تاج الدين السبكي في نظم أورده في الطبقة الثالثة من طبقاته - ويدل على أنه له قوله في الصفحة نفسها "وكان مذهب والدي" - في الخلاف بين الأشعري وأبي حنيفة: "والخلف بينهما قليل أمره سهل بلا بدع ولا كفران"،</w:t>
      </w:r>
      <w:r>
        <w:rPr>
          <w:rStyle w:val="FootnoteReference"/>
          <w:rFonts w:ascii="Traditional Arabic" w:hAnsi="Traditional Arabic" w:cs="Traditional Arabic" w:eastAsia="Traditional Arabic"/>
          <w:rtl/>
        </w:rPr>
        <w:footnoteReference w:id="69"/>
      </w:r>
      <w:r>
        <w:rPr>
          <w:rFonts w:ascii="Traditional Arabic" w:hAnsi="Traditional Arabic" w:cs="Traditional Arabic" w:eastAsia="Traditional Arabic"/>
          <w:rtl/>
        </w:rPr>
        <w:t xml:space="preserve"> وفيه أيضا: "والعقل ليس بحاكم لكن له الإدراك".</w:t>
      </w:r>
      <w:r>
        <w:rPr>
          <w:rStyle w:val="FootnoteReference"/>
          <w:rFonts w:ascii="Traditional Arabic" w:hAnsi="Traditional Arabic" w:cs="Traditional Arabic" w:eastAsia="Traditional Arabic"/>
          <w:rtl/>
        </w:rPr>
        <w:footnoteReference w:id="70"/>
      </w:r>
    </w:p>
    <w:p>
      <w:pPr>
        <w:pStyle w:val="BodyText1"/>
      </w:pPr>
      <w:r>
        <w:rPr>
          <w:rFonts w:ascii="Traditional Arabic" w:hAnsi="Traditional Arabic" w:cs="Traditional Arabic" w:eastAsia="Traditional Arabic"/>
          <w:rtl/>
        </w:rPr>
        <w:t xml:space="preserve">ومذهب الحنفية والماتريدية لا تستقيم معه حكاية واحدة، فهو موزع بين هذه الأقوال عند الناقلين. فقد حكى الزركشي عن بعض محققي الحنفية: "عندنا الحاكم بالحسن والقبح هو الله تعالى"، وفرق بينهم وبين الأشاعرة بأن الحسن والقبح عند الأشاعرة "لا يعرفان إلا بعد الشرع، وعندنا قد يعرفهما العقل بخلق الله تعالى علما ضروريا بهما".</w:t>
      </w:r>
      <w:r>
        <w:rPr>
          <w:rStyle w:val="FootnoteReference"/>
          <w:rFonts w:ascii="Traditional Arabic" w:hAnsi="Traditional Arabic" w:cs="Traditional Arabic" w:eastAsia="Traditional Arabic"/>
          <w:rtl/>
        </w:rPr>
        <w:footnoteReference w:id="71"/>
      </w:r>
      <w:r>
        <w:rPr>
          <w:rFonts w:ascii="Traditional Arabic" w:hAnsi="Traditional Arabic" w:cs="Traditional Arabic" w:eastAsia="Traditional Arabic"/>
          <w:rtl/>
        </w:rPr>
        <w:t xml:space="preserve"> ونقل عن أبي زيد الدبوسي أن المختار عندهم: "أن على العبد بمجرد العقل الإيمان بالله، واعتقاد وجوب الطاعة على نفسه من أمر ونهي"، ثم قال الزركشي في حاصل مذهبهم: "يجب اعتقاد كونه مأمورا، وأما الإقدام على الفعل والترك فلا يأتي به إلا بعد الشرع".</w:t>
      </w:r>
      <w:r>
        <w:rPr>
          <w:rStyle w:val="FootnoteReference"/>
          <w:rFonts w:ascii="Traditional Arabic" w:hAnsi="Traditional Arabic" w:cs="Traditional Arabic" w:eastAsia="Traditional Arabic"/>
          <w:rtl/>
        </w:rPr>
        <w:footnoteReference w:id="72"/>
      </w:r>
      <w:r>
        <w:rPr>
          <w:rFonts w:ascii="Traditional Arabic" w:hAnsi="Traditional Arabic" w:cs="Traditional Arabic" w:eastAsia="Traditional Arabic"/>
          <w:rtl/>
        </w:rPr>
        <w:t xml:space="preserve"> وفي تيسير التحرير عن المحقق ابن عين الدولة أن أئمة بخارى "الذين شهدناهم كانوا على القول الأول: يعني قول الأشاعرة"،</w:t>
      </w:r>
      <w:r>
        <w:rPr>
          <w:rStyle w:val="FootnoteReference"/>
          <w:rFonts w:ascii="Traditional Arabic" w:hAnsi="Traditional Arabic" w:cs="Traditional Arabic" w:eastAsia="Traditional Arabic"/>
          <w:rtl/>
        </w:rPr>
        <w:footnoteReference w:id="73"/>
      </w:r>
      <w:r>
        <w:rPr>
          <w:rFonts w:ascii="Traditional Arabic" w:hAnsi="Traditional Arabic" w:cs="Traditional Arabic" w:eastAsia="Traditional Arabic"/>
          <w:rtl/>
        </w:rPr>
        <w:t xml:space="preserve"> وفيه أيضا: "وكلهم أي الحنفية على امتناع تعذيب الطائع عليه تعالى".</w:t>
      </w:r>
      <w:r>
        <w:rPr>
          <w:rStyle w:val="FootnoteReference"/>
          <w:rFonts w:ascii="Traditional Arabic" w:hAnsi="Traditional Arabic" w:cs="Traditional Arabic" w:eastAsia="Traditional Arabic"/>
          <w:rtl/>
        </w:rPr>
        <w:footnoteReference w:id="74"/>
      </w:r>
    </w:p>
    <w:p>
      <w:pPr>
        <w:pStyle w:val="BodyText1"/>
      </w:pPr>
      <w:r>
        <w:rPr>
          <w:rFonts w:ascii="Traditional Arabic" w:hAnsi="Traditional Arabic" w:cs="Traditional Arabic" w:eastAsia="Traditional Arabic"/>
          <w:rtl/>
        </w:rPr>
        <w:t xml:space="preserve">#٥ د - أدلة المختار</w:t>
      </w:r>
    </w:p>
    <w:p>
      <w:pPr>
        <w:pStyle w:val="BodyText1"/>
      </w:pPr>
      <w:r>
        <w:rPr>
          <w:rFonts w:ascii="Traditional Arabic" w:hAnsi="Traditional Arabic" w:cs="Traditional Arabic" w:eastAsia="Traditional Arabic"/>
          <w:rtl/>
        </w:rPr>
        <w:t xml:space="preserve">والمختار - وهو قول الأشاعرة، وهو الذي اعتمده تقي الدين السبكي - يستدل له بالنقل وبالعقل. فأما النقل فقوله تعالى {وما كنا معذبين حتى نبعث رسولا}، قال القرافي: "نفى التعذيب قبل البعثة فينتفي ملزومه وهو الحكم".</w:t>
      </w:r>
      <w:r>
        <w:rPr>
          <w:rStyle w:val="FootnoteReference"/>
          <w:rFonts w:ascii="Traditional Arabic" w:hAnsi="Traditional Arabic" w:cs="Traditional Arabic" w:eastAsia="Traditional Arabic"/>
          <w:rtl/>
        </w:rPr>
        <w:footnoteReference w:id="75"/>
      </w:r>
      <w:r>
        <w:rPr>
          <w:rFonts w:ascii="Traditional Arabic" w:hAnsi="Traditional Arabic" w:cs="Traditional Arabic" w:eastAsia="Traditional Arabic"/>
          <w:rtl/>
        </w:rPr>
        <w:t xml:space="preserve"> وقرره تاج الدين السبكي على التنزل، فقال: "إنا مفرعون على القول بالحسن والقبح"، ثم قال: "ولو وجب شكر المنعم لحصل التعذيب بتركه، ولم يتوقف على بعثة الرسل".</w:t>
      </w:r>
      <w:r>
        <w:rPr>
          <w:rStyle w:val="FootnoteReference"/>
          <w:rFonts w:ascii="Traditional Arabic" w:hAnsi="Traditional Arabic" w:cs="Traditional Arabic" w:eastAsia="Traditional Arabic"/>
          <w:rtl/>
        </w:rPr>
        <w:footnoteReference w:id="76"/>
      </w:r>
      <w:r>
        <w:rPr>
          <w:rFonts w:ascii="Traditional Arabic" w:hAnsi="Traditional Arabic" w:cs="Traditional Arabic" w:eastAsia="Traditional Arabic"/>
          <w:rtl/>
        </w:rPr>
        <w:t xml:space="preserve"> وقال ابن كثير في الآية: "إخبار عن عدله تعالى، وأنه لا يعذب أحدا إلا بعد قيام الحجة عليه بإرسال الرسول إليه".</w:t>
      </w:r>
      <w:r>
        <w:rPr>
          <w:rStyle w:val="FootnoteReference"/>
          <w:rFonts w:ascii="Traditional Arabic" w:hAnsi="Traditional Arabic" w:cs="Traditional Arabic" w:eastAsia="Traditional Arabic"/>
          <w:rtl/>
        </w:rPr>
        <w:footnoteReference w:id="77"/>
      </w:r>
      <w:r>
        <w:rPr>
          <w:rFonts w:ascii="Traditional Arabic" w:hAnsi="Traditional Arabic" w:cs="Traditional Arabic" w:eastAsia="Traditional Arabic"/>
          <w:rtl/>
        </w:rPr>
        <w:t xml:space="preserve"> وقال تعالى في الآية الأخرى {رسلا مبشرين ومنذرين لئلا يكون للناس على الله حجة بعد الرسل}، قال الزركشي في الاحتجاج بالآيتين: "فلو كان له الحجة عليهم قبل البعثة لما قال: إنما أبعث الرسل لأقطع بها حجة المحتج".</w:t>
      </w:r>
      <w:r>
        <w:rPr>
          <w:rStyle w:val="FootnoteReference"/>
          <w:rFonts w:ascii="Traditional Arabic" w:hAnsi="Traditional Arabic" w:cs="Traditional Arabic" w:eastAsia="Traditional Arabic"/>
          <w:rtl/>
        </w:rPr>
        <w:footnoteReference w:id="78"/>
      </w:r>
    </w:p>
    <w:p>
      <w:pPr>
        <w:pStyle w:val="BodyText1"/>
      </w:pPr>
      <w:r>
        <w:rPr>
          <w:rFonts w:ascii="Traditional Arabic" w:hAnsi="Traditional Arabic" w:cs="Traditional Arabic" w:eastAsia="Traditional Arabic"/>
          <w:rtl/>
        </w:rPr>
        <w:t xml:space="preserve">وأما العقل فمما استدل به الأشاعرة جواب الغزالي عن دعوى الذاتية: "والوصف الذاتي كيف يتبدل بالإضافة إلى الأحوال؟"،</w:t>
      </w:r>
      <w:r>
        <w:rPr>
          <w:rStyle w:val="FootnoteReference"/>
          <w:rFonts w:ascii="Traditional Arabic" w:hAnsi="Traditional Arabic" w:cs="Traditional Arabic" w:eastAsia="Traditional Arabic"/>
          <w:rtl/>
        </w:rPr>
        <w:footnoteReference w:id="79"/>
      </w:r>
      <w:r>
        <w:rPr>
          <w:rFonts w:ascii="Traditional Arabic" w:hAnsi="Traditional Arabic" w:cs="Traditional Arabic" w:eastAsia="Traditional Arabic"/>
          <w:rtl/>
        </w:rPr>
        <w:t xml:space="preserve"> وقوله في دعوى الضرورة: "أما الأول وهو دعوى كونه وصفا ذاتيا فهو تحكم بما لا يعقل".</w:t>
      </w:r>
      <w:r>
        <w:rPr>
          <w:rStyle w:val="FootnoteReference"/>
          <w:rFonts w:ascii="Traditional Arabic" w:hAnsi="Traditional Arabic" w:cs="Traditional Arabic" w:eastAsia="Traditional Arabic"/>
          <w:rtl/>
        </w:rPr>
        <w:footnoteReference w:id="80"/>
      </w:r>
      <w:r>
        <w:rPr>
          <w:rFonts w:ascii="Traditional Arabic" w:hAnsi="Traditional Arabic" w:cs="Traditional Arabic" w:eastAsia="Traditional Arabic"/>
          <w:rtl/>
        </w:rPr>
        <w:t xml:space="preserve"> وفي البرهان مسلكان للقاضي أبي بكر، أولهما: "ما ادعيتم الضرورة فيه فأنتم منازعون فيه"، وثانيهما: "نرى كذبة تنجي أمما والكف عنها ذريعة إلى هلاكهم فما وجه قبحها".</w:t>
      </w:r>
      <w:r>
        <w:rPr>
          <w:rStyle w:val="FootnoteReference"/>
          <w:rFonts w:ascii="Traditional Arabic" w:hAnsi="Traditional Arabic" w:cs="Traditional Arabic" w:eastAsia="Traditional Arabic"/>
          <w:rtl/>
        </w:rPr>
        <w:footnoteReference w:id="81"/>
      </w:r>
      <w:r>
        <w:rPr>
          <w:rFonts w:ascii="Traditional Arabic" w:hAnsi="Traditional Arabic" w:cs="Traditional Arabic" w:eastAsia="Traditional Arabic"/>
          <w:rtl/>
        </w:rPr>
        <w:t xml:space="preserve"> ثم ذكر الجويني مسلكه فقال: "والمسلك الحق عندي في ذلك الجامع لمحاسن المذاهب الناقض لمساويها أن نقول لسنا ننكر أن العقول تقتضي من أربابها اجتناب المهالك وابتدار المنافع الممكنة"، لكن الكلام "على ما يقبح ويحسن في حكم الله تعالى".</w:t>
      </w:r>
      <w:r>
        <w:rPr>
          <w:rStyle w:val="FootnoteReference"/>
          <w:rFonts w:ascii="Traditional Arabic" w:hAnsi="Traditional Arabic" w:cs="Traditional Arabic" w:eastAsia="Traditional Arabic"/>
          <w:rtl/>
        </w:rPr>
        <w:footnoteReference w:id="82"/>
      </w:r>
    </w:p>
    <w:p>
      <w:pPr>
        <w:pStyle w:val="BodyText1"/>
      </w:pPr>
      <w:r>
        <w:rPr>
          <w:rFonts w:ascii="Traditional Arabic" w:hAnsi="Traditional Arabic" w:cs="Traditional Arabic" w:eastAsia="Traditional Arabic"/>
          <w:rtl/>
        </w:rPr>
        <w:t xml:space="preserve">وأما القرافي فقال في الجواب عن دعوى الضرورة: "قلنا محل الضرورة مورد الطباع وليس محل النزاع".</w:t>
      </w:r>
      <w:r>
        <w:rPr>
          <w:rStyle w:val="FootnoteReference"/>
          <w:rFonts w:ascii="Traditional Arabic" w:hAnsi="Traditional Arabic" w:cs="Traditional Arabic" w:eastAsia="Traditional Arabic"/>
          <w:rtl/>
        </w:rPr>
        <w:footnoteReference w:id="83"/>
      </w:r>
      <w:r>
        <w:rPr>
          <w:rFonts w:ascii="Traditional Arabic" w:hAnsi="Traditional Arabic" w:cs="Traditional Arabic" w:eastAsia="Traditional Arabic"/>
          <w:rtl/>
        </w:rPr>
        <w:t xml:space="preserve"> وقد اعترض صاحب تيسير التحرير على نحو هذا الجواب - وهو قول الأشاعرة إن منشأ الاتفاق الأغراض والعادات - بأنه "لا يدفع حجتنا: إذ هو إنكار للبديهي".</w:t>
      </w:r>
      <w:r>
        <w:rPr>
          <w:rStyle w:val="FootnoteReference"/>
          <w:rFonts w:ascii="Traditional Arabic" w:hAnsi="Traditional Arabic" w:cs="Traditional Arabic" w:eastAsia="Traditional Arabic"/>
          <w:rtl/>
        </w:rPr>
        <w:footnoteReference w:id="84"/>
      </w:r>
    </w:p>
    <w:p>
      <w:pPr>
        <w:pStyle w:val="BodyText1"/>
      </w:pPr>
      <w:r>
        <w:rPr>
          <w:rFonts w:ascii="Traditional Arabic" w:hAnsi="Traditional Arabic" w:cs="Traditional Arabic" w:eastAsia="Traditional Arabic"/>
          <w:rtl/>
        </w:rPr>
        <w:t xml:space="preserve">#٥ هـ - أدلة المخالف والجواب عنها</w:t>
      </w:r>
    </w:p>
    <w:p>
      <w:pPr>
        <w:pStyle w:val="BodyText1"/>
      </w:pPr>
      <w:r>
        <w:rPr>
          <w:rFonts w:ascii="Traditional Arabic" w:hAnsi="Traditional Arabic" w:cs="Traditional Arabic" w:eastAsia="Traditional Arabic"/>
          <w:rtl/>
        </w:rPr>
        <w:t xml:space="preserve">وأشهر ما احتج به المعتزلة أن حسن الصدق النافع وقبح الكذب الضار معلوم بالضرورة. وقد نقله الغزالي بقوله: "احتجوا بأنا نعلم قطعا أن من استوى عنده الصدق والكذب آثر الصدق ومال إليه إن كان عاقلا وليس ذلك إلا لحسنه".</w:t>
      </w:r>
      <w:r>
        <w:rPr>
          <w:rStyle w:val="FootnoteReference"/>
          <w:rFonts w:ascii="Traditional Arabic" w:hAnsi="Traditional Arabic" w:cs="Traditional Arabic" w:eastAsia="Traditional Arabic"/>
          <w:rtl/>
        </w:rPr>
        <w:footnoteReference w:id="85"/>
      </w:r>
      <w:r>
        <w:rPr>
          <w:rFonts w:ascii="Traditional Arabic" w:hAnsi="Traditional Arabic" w:cs="Traditional Arabic" w:eastAsia="Traditional Arabic"/>
          <w:rtl/>
        </w:rPr>
        <w:t xml:space="preserve"> وجوابه ما تقدم من كلام الغزالي والقرافي. وأما احتجاجهم بالآيات فقد أجابوا عنها بأجوبة متعددة، أحصيت منها خمسة: أولها: أن المراد بالآية عذاب الاستئصال في الدنيا، وقد أبطله الكيا الهراسي بقوله: "وهذا بعيد فإن عذاب الاستئصال على حسب ما يقع في المعلوم كونه مصلحة".</w:t>
      </w:r>
      <w:r>
        <w:rPr>
          <w:rStyle w:val="FootnoteReference"/>
          <w:rFonts w:ascii="Traditional Arabic" w:hAnsi="Traditional Arabic" w:cs="Traditional Arabic" w:eastAsia="Traditional Arabic"/>
          <w:rtl/>
        </w:rPr>
        <w:footnoteReference w:id="86"/>
      </w:r>
      <w:r>
        <w:rPr>
          <w:rFonts w:ascii="Traditional Arabic" w:hAnsi="Traditional Arabic" w:cs="Traditional Arabic" w:eastAsia="Traditional Arabic"/>
          <w:rtl/>
        </w:rPr>
        <w:t xml:space="preserve"> وثانيها: أن الآية فيما طريقه السمع، لا فيما طريقه العقل، وقد حكاه الكيا بقوله: "وأجابوا من وجه آخر فقالوا: وما كنا معذبين فيما طريقه السمع حتى نبعث رسولا، فأما ما كان طريقه العقل فلا"، ثم قال: "وهذا بعيد".</w:t>
      </w:r>
      <w:r>
        <w:rPr>
          <w:rStyle w:val="FootnoteReference"/>
          <w:rFonts w:ascii="Traditional Arabic" w:hAnsi="Traditional Arabic" w:cs="Traditional Arabic" w:eastAsia="Traditional Arabic"/>
          <w:rtl/>
        </w:rPr>
        <w:footnoteReference w:id="87"/>
      </w:r>
      <w:r>
        <w:rPr>
          <w:rFonts w:ascii="Traditional Arabic" w:hAnsi="Traditional Arabic" w:cs="Traditional Arabic" w:eastAsia="Traditional Arabic"/>
          <w:rtl/>
        </w:rPr>
        <w:t xml:space="preserve"> وثالثها: جواب الزمخشري أن بعثة الرسل "من جملة التنبيه على النظر والإيقاظ من رقدة الغفلة".</w:t>
      </w:r>
      <w:r>
        <w:rPr>
          <w:rStyle w:val="FootnoteReference"/>
          <w:rFonts w:ascii="Traditional Arabic" w:hAnsi="Traditional Arabic" w:cs="Traditional Arabic" w:eastAsia="Traditional Arabic"/>
          <w:rtl/>
        </w:rPr>
        <w:footnoteReference w:id="88"/>
      </w:r>
      <w:r>
        <w:rPr>
          <w:rFonts w:ascii="Traditional Arabic" w:hAnsi="Traditional Arabic" w:cs="Traditional Arabic" w:eastAsia="Traditional Arabic"/>
          <w:rtl/>
        </w:rPr>
        <w:t xml:space="preserve"> وقال في آية النساء: "فكان إرسالهم إزاحة للعلة وتتميما لإلزام الحجة".</w:t>
      </w:r>
      <w:r>
        <w:rPr>
          <w:rStyle w:val="FootnoteReference"/>
          <w:rFonts w:ascii="Traditional Arabic" w:hAnsi="Traditional Arabic" w:cs="Traditional Arabic" w:eastAsia="Traditional Arabic"/>
          <w:rtl/>
        </w:rPr>
        <w:footnoteReference w:id="89"/>
      </w:r>
      <w:r>
        <w:rPr>
          <w:rFonts w:ascii="Traditional Arabic" w:hAnsi="Traditional Arabic" w:cs="Traditional Arabic" w:eastAsia="Traditional Arabic"/>
          <w:rtl/>
        </w:rPr>
        <w:t xml:space="preserve"> ورابعها ما حكاه ابن القيم عنهم: "ولكنهم يقولون أن العذاب الثابت بعد الإيجاب الشرعي نوع آخر غير العذاب الثابت على الإيجاب العقلي".</w:t>
      </w:r>
      <w:r>
        <w:rPr>
          <w:rStyle w:val="FootnoteReference"/>
          <w:rFonts w:ascii="Traditional Arabic" w:hAnsi="Traditional Arabic" w:cs="Traditional Arabic" w:eastAsia="Traditional Arabic"/>
          <w:rtl/>
        </w:rPr>
        <w:footnoteReference w:id="90"/>
      </w:r>
      <w:r>
        <w:rPr>
          <w:rFonts w:ascii="Traditional Arabic" w:hAnsi="Traditional Arabic" w:cs="Traditional Arabic" w:eastAsia="Traditional Arabic"/>
          <w:rtl/>
        </w:rPr>
        <w:t xml:space="preserve"> وخامسها: أن العقل قائم مقام الرسول، وهو الذي أشار إليه تقي الدين السبكي بقوله: "أو أن العقل قائم مقام الرسول عند من يثبت الأحكام بالعقل".</w:t>
      </w:r>
      <w:r>
        <w:rPr>
          <w:rStyle w:val="FootnoteReference"/>
          <w:rFonts w:ascii="Traditional Arabic" w:hAnsi="Traditional Arabic" w:cs="Traditional Arabic" w:eastAsia="Traditional Arabic"/>
          <w:rtl/>
        </w:rPr>
        <w:footnoteReference w:id="91"/>
      </w:r>
    </w:p>
    <w:p>
      <w:pPr>
        <w:pStyle w:val="BodyText1"/>
      </w:pPr>
      <w:r>
        <w:rPr>
          <w:rFonts w:ascii="Traditional Arabic" w:hAnsi="Traditional Arabic" w:cs="Traditional Arabic" w:eastAsia="Traditional Arabic"/>
          <w:rtl/>
        </w:rPr>
        <w:t xml:space="preserve">وقد رد على جواب الزمخشري صاحب الانتصاف في حاشية الكشاف، فقال: "وأما السني فلا يتوجه عليه هذا السؤال، فإن العقل عنده شرط في وجوب عموم الأحكام"، وقال: "نعم العقل عمدة في حصول المعرفة لا في وجوبها".</w:t>
      </w:r>
      <w:r>
        <w:rPr>
          <w:rStyle w:val="FootnoteReference"/>
          <w:rFonts w:ascii="Traditional Arabic" w:hAnsi="Traditional Arabic" w:cs="Traditional Arabic" w:eastAsia="Traditional Arabic"/>
          <w:rtl/>
        </w:rPr>
        <w:footnoteReference w:id="92"/>
      </w:r>
      <w:r>
        <w:rPr>
          <w:rFonts w:ascii="Traditional Arabic" w:hAnsi="Traditional Arabic" w:cs="Traditional Arabic" w:eastAsia="Traditional Arabic"/>
          <w:rtl/>
        </w:rPr>
        <w:t xml:space="preserve"> وهذا هو المعنى الذي قدمته من نص تقي الدين السبكي على أن العقل مما يتوقف عليه الوجوب.</w:t>
      </w:r>
    </w:p>
    <w:p>
      <w:pPr>
        <w:pStyle w:val="BodyText1"/>
      </w:pPr>
      <w:r>
        <w:rPr>
          <w:rFonts w:ascii="Traditional Arabic" w:hAnsi="Traditional Arabic" w:cs="Traditional Arabic" w:eastAsia="Traditional Arabic"/>
          <w:rtl/>
        </w:rPr>
        <w:t xml:space="preserve">وأما رد ابن تيمية على الأشاعرة وعلى المعتزلة في الاستدلال بالآية فسيأتي في تحرير النسبة.</w:t>
      </w:r>
    </w:p>
    <w:p>
      <w:pPr>
        <w:pStyle w:val="BodyText1"/>
      </w:pPr>
      <w:r>
        <w:rPr>
          <w:rFonts w:ascii="Traditional Arabic" w:hAnsi="Traditional Arabic" w:cs="Traditional Arabic" w:eastAsia="Traditional Arabic"/>
          <w:rtl/>
        </w:rPr>
        <w:t xml:space="preserve">#٥ و - تحرير نسبة المذاهب وتعقب ما يحتاج تعقبا</w:t>
      </w:r>
    </w:p>
    <w:p>
      <w:pPr>
        <w:pStyle w:val="BodyText1"/>
      </w:pPr>
      <w:r>
        <w:rPr>
          <w:rFonts w:ascii="Traditional Arabic" w:hAnsi="Traditional Arabic" w:cs="Traditional Arabic" w:eastAsia="Traditional Arabic"/>
          <w:rtl/>
        </w:rPr>
        <w:t xml:space="preserve">وفي نسبة المذاهب في هذه المسألة خمسة مواضع تحتاج إلى تحرير.</w:t>
      </w:r>
    </w:p>
    <w:p>
      <w:pPr>
        <w:pStyle w:val="BodyText1"/>
      </w:pPr>
      <w:r>
        <w:rPr>
          <w:rFonts w:ascii="Traditional Arabic" w:hAnsi="Traditional Arabic" w:cs="Traditional Arabic" w:eastAsia="Traditional Arabic"/>
          <w:rtl/>
        </w:rPr>
        <w:t xml:space="preserve">الأول: نسبة القول بأن «العقل حاكم» إلى المعتزلة. وقد تقدم أن الزركشي والطوفي نبها على أن الأصوليين الناقلين أحالوا المعنى، وأن مرادهم الكشف لا الحكم. وفي الإبهاج - في ما كتبه التاج - أن للعقل عندهم «صلاحية الكشف».</w:t>
      </w:r>
      <w:r>
        <w:rPr>
          <w:rStyle w:val="FootnoteReference"/>
          <w:rFonts w:ascii="Traditional Arabic" w:hAnsi="Traditional Arabic" w:cs="Traditional Arabic" w:eastAsia="Traditional Arabic"/>
          <w:rtl/>
        </w:rPr>
        <w:footnoteReference w:id="93"/>
      </w:r>
      <w:r>
        <w:rPr>
          <w:rFonts w:ascii="Traditional Arabic" w:hAnsi="Traditional Arabic" w:cs="Traditional Arabic" w:eastAsia="Traditional Arabic"/>
          <w:rtl/>
        </w:rPr>
        <w:t xml:space="preserve"> وتقي الدين السبكي نفسه يحكي عنهم: "القائلون بأنها تثبت بالعقل"،</w:t>
      </w:r>
      <w:r>
        <w:rPr>
          <w:rStyle w:val="FootnoteReference"/>
          <w:rFonts w:ascii="Traditional Arabic" w:hAnsi="Traditional Arabic" w:cs="Traditional Arabic" w:eastAsia="Traditional Arabic"/>
          <w:rtl/>
        </w:rPr>
        <w:footnoteReference w:id="94"/>
      </w:r>
      <w:r>
        <w:rPr>
          <w:rFonts w:ascii="Traditional Arabic" w:hAnsi="Traditional Arabic" w:cs="Traditional Arabic" w:eastAsia="Traditional Arabic"/>
          <w:rtl/>
        </w:rPr>
        <w:t xml:space="preserve"> وهي عبارة تحتمل الإثبات الحقيقي والكشف، فلا أجزم بأنه أراد بها أن العقل حاكم بذاته.</w:t>
      </w:r>
    </w:p>
    <w:p>
      <w:pPr>
        <w:pStyle w:val="BodyText1"/>
      </w:pPr>
      <w:r>
        <w:rPr>
          <w:rFonts w:ascii="Traditional Arabic" w:hAnsi="Traditional Arabic" w:cs="Traditional Arabic" w:eastAsia="Traditional Arabic"/>
          <w:rtl/>
        </w:rPr>
        <w:t xml:space="preserve">الثاني: نسبة الحنفية. فقد قال الزركشي: "ويظن كثير من الناس أن مذهب أبي حنيفة كمذهب المعتزلة وينصب الخلاف بينهم وبين الأشعرية، لقول أبي حنيفة: لا عذر لأحد في الجهل بخالقه"، ثم نقل تفسير الصابوني: "ليس تفسير وجوب الإيمان بالعقل أن يستحق العقاب بالعقل والثواب بالعقل، إذ هما لا يعرفان إلا بالسمع".</w:t>
      </w:r>
      <w:r>
        <w:rPr>
          <w:rStyle w:val="FootnoteReference"/>
          <w:rFonts w:ascii="Traditional Arabic" w:hAnsi="Traditional Arabic" w:cs="Traditional Arabic" w:eastAsia="Traditional Arabic"/>
          <w:rtl/>
        </w:rPr>
        <w:footnoteReference w:id="95"/>
      </w:r>
      <w:r>
        <w:rPr>
          <w:rFonts w:ascii="Traditional Arabic" w:hAnsi="Traditional Arabic" w:cs="Traditional Arabic" w:eastAsia="Traditional Arabic"/>
          <w:rtl/>
        </w:rPr>
        <w:t xml:space="preserve"> وفي تيسير التحرير في الرواية عن أبي حنيفة أنه يجب "حمل الوجوب في قوله" - أي أبي حنيفة - "على ينبغي".</w:t>
      </w:r>
      <w:r>
        <w:rPr>
          <w:rStyle w:val="FootnoteReference"/>
          <w:rFonts w:ascii="Traditional Arabic" w:hAnsi="Traditional Arabic" w:cs="Traditional Arabic" w:eastAsia="Traditional Arabic"/>
          <w:rtl/>
        </w:rPr>
        <w:footnoteReference w:id="96"/>
      </w:r>
      <w:r>
        <w:rPr>
          <w:rFonts w:ascii="Traditional Arabic" w:hAnsi="Traditional Arabic" w:cs="Traditional Arabic" w:eastAsia="Traditional Arabic"/>
          <w:rtl/>
        </w:rPr>
        <w:t xml:space="preserve"> وخالف ذلك ابن تيمية، فنسب إلى "كثير من أصحاب أبي حنيفة" القول بأنهم "يستحقون العذاب على ذلك في الآخرة وإن لم يأتهم الرسول"، وأنهم "حكوه عن أبي حنيفة نفسه".</w:t>
      </w:r>
      <w:r>
        <w:rPr>
          <w:rStyle w:val="FootnoteReference"/>
          <w:rFonts w:ascii="Traditional Arabic" w:hAnsi="Traditional Arabic" w:cs="Traditional Arabic" w:eastAsia="Traditional Arabic"/>
          <w:rtl/>
        </w:rPr>
        <w:footnoteReference w:id="97"/>
      </w:r>
      <w:r>
        <w:rPr>
          <w:rFonts w:ascii="Traditional Arabic" w:hAnsi="Traditional Arabic" w:cs="Traditional Arabic" w:eastAsia="Traditional Arabic"/>
          <w:rtl/>
        </w:rPr>
        <w:t xml:space="preserve"> فاضطربت النقول عن الحنفية: فعند الزركشي أنهم يحكون عن أبي حنيفة القول الثالث، وعند ابن تيمية أنهم يحكون عنه القول الثاني. ولا يتحقق ذلك إلا بمراجعة أصل الرواية عن أبي حنيفة، وهو ما لم أقف عليه في كتب الحنفية المتقدمة.</w:t>
      </w:r>
      <w:r>
        <w:rPr>
          <w:rStyle w:val="FootnoteReference"/>
          <w:rFonts w:ascii="Traditional Arabic" w:hAnsi="Traditional Arabic" w:cs="Traditional Arabic" w:eastAsia="Traditional Arabic"/>
          <w:rtl/>
        </w:rPr>
        <w:footnoteReference w:id="98"/>
      </w:r>
    </w:p>
    <w:p>
      <w:pPr>
        <w:pStyle w:val="BodyText1"/>
      </w:pPr>
      <w:r>
        <w:rPr>
          <w:rFonts w:ascii="Traditional Arabic" w:hAnsi="Traditional Arabic" w:cs="Traditional Arabic" w:eastAsia="Traditional Arabic"/>
          <w:rtl/>
        </w:rPr>
        <w:t xml:space="preserve">الثالث: نسبة أبي الخطاب. فقد نسبه الزركشي - كما تقدم - إلى القول الوسط، أما ابن تيمية فعده في موضعين مع من يقول بأن قبح الأفعال معلوم بالعقل وأنهم يستحقون العذاب عليه بالعقل: ففي درء التعارض قال: "كما يقول ذلك المعتزلة، ومن وافقهم من أصحاب أبي حنيفة وغيرهم"، وفي الفتاوى: "وهو قول أبي الخطاب وغيره".</w:t>
      </w:r>
      <w:r>
        <w:rPr>
          <w:rStyle w:val="FootnoteReference"/>
          <w:rFonts w:ascii="Traditional Arabic" w:hAnsi="Traditional Arabic" w:cs="Traditional Arabic" w:eastAsia="Traditional Arabic"/>
          <w:rtl/>
        </w:rPr>
        <w:footnoteReference w:id="99"/>
      </w:r>
      <w:r>
        <w:rPr>
          <w:rFonts w:ascii="Traditional Arabic" w:hAnsi="Traditional Arabic" w:cs="Traditional Arabic" w:eastAsia="Traditional Arabic"/>
          <w:rtl/>
        </w:rPr>
        <w:t xml:space="preserve"> ولم أقف على كلام أبي الخطاب في كتابه لأوفق بين هذين النقلين.</w:t>
      </w:r>
    </w:p>
    <w:p>
      <w:pPr>
        <w:pStyle w:val="BodyText1"/>
      </w:pPr>
      <w:r>
        <w:rPr>
          <w:rFonts w:ascii="Traditional Arabic" w:hAnsi="Traditional Arabic" w:cs="Traditional Arabic" w:eastAsia="Traditional Arabic"/>
          <w:rtl/>
        </w:rPr>
        <w:t xml:space="preserve">الرابع: نسبة جواز التعذيب بلا ذنب إلى الأشاعرة. فقد قال ابن تيمية: "وهو حجة عليهم أيضا في نفي العذاب مطلقا إلا بعد إرسال الرسل"، وإنهم "يجوزون التعذيب قبل إرسال الرسل".</w:t>
      </w:r>
      <w:r>
        <w:rPr>
          <w:rStyle w:val="FootnoteReference"/>
          <w:rFonts w:ascii="Traditional Arabic" w:hAnsi="Traditional Arabic" w:cs="Traditional Arabic" w:eastAsia="Traditional Arabic"/>
          <w:rtl/>
        </w:rPr>
        <w:footnoteReference w:id="100"/>
      </w:r>
      <w:r>
        <w:rPr>
          <w:rFonts w:ascii="Traditional Arabic" w:hAnsi="Traditional Arabic" w:cs="Traditional Arabic" w:eastAsia="Traditional Arabic"/>
          <w:rtl/>
        </w:rPr>
        <w:t xml:space="preserve"> وقال في الدرء: "وقوله تعالى {وما كنا معذبين حتى نبعث رسولا} حجة على الطائفتين".</w:t>
      </w:r>
      <w:r>
        <w:rPr>
          <w:rStyle w:val="FootnoteReference"/>
          <w:rFonts w:ascii="Traditional Arabic" w:hAnsi="Traditional Arabic" w:cs="Traditional Arabic" w:eastAsia="Traditional Arabic"/>
          <w:rtl/>
        </w:rPr>
        <w:footnoteReference w:id="101"/>
      </w:r>
      <w:r>
        <w:rPr>
          <w:rFonts w:ascii="Traditional Arabic" w:hAnsi="Traditional Arabic" w:cs="Traditional Arabic" w:eastAsia="Traditional Arabic"/>
          <w:rtl/>
        </w:rPr>
        <w:t xml:space="preserve"> ولم أقف في كلام تقي الدين السبكي على جواب عن هذه التهمة؛ فقد عد تعذيب إبليس قبل الرسول إشكالا يحتاج إلى جواب، ولم أقف له في المواضع التي ذكرتها على قول بجواز تعذيب من لم يذنب.</w:t>
      </w:r>
    </w:p>
    <w:p>
      <w:pPr>
        <w:pStyle w:val="BodyText1"/>
      </w:pPr>
      <w:r>
        <w:rPr>
          <w:rFonts w:ascii="Traditional Arabic" w:hAnsi="Traditional Arabic" w:cs="Traditional Arabic" w:eastAsia="Traditional Arabic"/>
          <w:rtl/>
        </w:rPr>
        <w:t xml:space="preserve">الخامس: موقع قول ابن تيمية من الأقوال الثلاثة. فهو يوافق المعتزلة في أن الأفعال متصفة بالحسن والقبح وأن العقل قد يدرك ذلك، ويخالفهم في ترتب العقاب قبل الرسالة، ولذلك سماهم غلاة، فقال: "وهذا مما غلط فيه غلاة القائلين بالتحسين والتقبيح؛ فإنهم قالوا؛ إن العباد يعاقبون على أفعالهم القبيحة ولو لم يبعث إليهم رسولا".</w:t>
      </w:r>
      <w:r>
        <w:rPr>
          <w:rStyle w:val="FootnoteReference"/>
          <w:rFonts w:ascii="Traditional Arabic" w:hAnsi="Traditional Arabic" w:cs="Traditional Arabic" w:eastAsia="Traditional Arabic"/>
          <w:rtl/>
        </w:rPr>
        <w:footnoteReference w:id="102"/>
      </w:r>
      <w:r>
        <w:rPr>
          <w:rFonts w:ascii="Traditional Arabic" w:hAnsi="Traditional Arabic" w:cs="Traditional Arabic" w:eastAsia="Traditional Arabic"/>
          <w:rtl/>
        </w:rPr>
        <w:t xml:space="preserve"> فهو يخالف الأشاعرة في نفي الاتصاف، ويلتقي معهم ومع تقي الدين السبكي في نفي العذاب قبل البعثة.</w:t>
      </w:r>
    </w:p>
    <w:p>
      <w:pPr>
        <w:pStyle w:val="BodyText1"/>
      </w:pPr>
      <w:r>
        <w:rPr>
          <w:rFonts w:ascii="Traditional Arabic" w:hAnsi="Traditional Arabic" w:cs="Traditional Arabic" w:eastAsia="Traditional Arabic"/>
          <w:rtl/>
        </w:rPr>
        <w:t xml:space="preserve">#٥ ز - ما ألحق بالمسألة وليس منها</w:t>
      </w:r>
    </w:p>
    <w:p>
      <w:pPr>
        <w:pStyle w:val="BodyText1"/>
      </w:pPr>
      <w:r>
        <w:rPr>
          <w:rFonts w:ascii="Traditional Arabic" w:hAnsi="Traditional Arabic" w:cs="Traditional Arabic" w:eastAsia="Traditional Arabic"/>
          <w:rtl/>
        </w:rPr>
        <w:t xml:space="preserve">وألحق بالمسألة أربعة أمور، بعضها فرع عنها، وبعضها ليس منها.</w:t>
      </w:r>
    </w:p>
    <w:p>
      <w:pPr>
        <w:pStyle w:val="BodyText1"/>
      </w:pPr>
      <w:r>
        <w:rPr>
          <w:rFonts w:ascii="Traditional Arabic" w:hAnsi="Traditional Arabic" w:cs="Traditional Arabic" w:eastAsia="Traditional Arabic"/>
          <w:rtl/>
        </w:rPr>
        <w:t xml:space="preserve">الأول: شكر المنعم. وقد قال تاج الدين السبكي: "هذان فرعان على قاعدة الحسن والقبح، جرت عوائد الأصحاب بذكرهما بعد إبطال مذهب المعتزلة فيها؛ لشدة سخافة مذهب المعتزلة بالنسبة إليهما".</w:t>
      </w:r>
      <w:r>
        <w:rPr>
          <w:rStyle w:val="FootnoteReference"/>
          <w:rFonts w:ascii="Traditional Arabic" w:hAnsi="Traditional Arabic" w:cs="Traditional Arabic" w:eastAsia="Traditional Arabic"/>
          <w:rtl/>
        </w:rPr>
        <w:footnoteReference w:id="103"/>
      </w:r>
      <w:r>
        <w:rPr>
          <w:rFonts w:ascii="Traditional Arabic" w:hAnsi="Traditional Arabic" w:cs="Traditional Arabic" w:eastAsia="Traditional Arabic"/>
          <w:rtl/>
        </w:rPr>
        <w:t xml:space="preserve"> ونقل عن الكيا الهراسي أن "مسألة شكر المنعم" "عين مسألة التحسين والتقبيح".</w:t>
      </w:r>
      <w:r>
        <w:rPr>
          <w:rStyle w:val="FootnoteReference"/>
          <w:rFonts w:ascii="Traditional Arabic" w:hAnsi="Traditional Arabic" w:cs="Traditional Arabic" w:eastAsia="Traditional Arabic"/>
          <w:rtl/>
        </w:rPr>
        <w:footnoteReference w:id="104"/>
      </w:r>
      <w:r>
        <w:rPr>
          <w:rFonts w:ascii="Traditional Arabic" w:hAnsi="Traditional Arabic" w:cs="Traditional Arabic" w:eastAsia="Traditional Arabic"/>
          <w:rtl/>
        </w:rPr>
        <w:t xml:space="preserve"> فهي فرع تطبيقي لا مسألة مستقلة.</w:t>
      </w:r>
    </w:p>
    <w:p>
      <w:pPr>
        <w:pStyle w:val="BodyText1"/>
      </w:pPr>
      <w:r>
        <w:rPr>
          <w:rFonts w:ascii="Traditional Arabic" w:hAnsi="Traditional Arabic" w:cs="Traditional Arabic" w:eastAsia="Traditional Arabic"/>
          <w:rtl/>
        </w:rPr>
        <w:t xml:space="preserve">الثاني: حكم الأفعال قبل ورود الشرع. قال التاج: "وقد ذهب أهل السنة والجماعة إلى أنه لا حكم فيها؛ لأن الحكم عندهم عبارة عن الخطاب على ما تقدم تفسيره، فحيث لا خطاب لا حكم".</w:t>
      </w:r>
      <w:r>
        <w:rPr>
          <w:rStyle w:val="FootnoteReference"/>
          <w:rFonts w:ascii="Traditional Arabic" w:hAnsi="Traditional Arabic" w:cs="Traditional Arabic" w:eastAsia="Traditional Arabic"/>
          <w:rtl/>
        </w:rPr>
        <w:footnoteReference w:id="105"/>
      </w:r>
      <w:r>
        <w:rPr>
          <w:rFonts w:ascii="Traditional Arabic" w:hAnsi="Traditional Arabic" w:cs="Traditional Arabic" w:eastAsia="Traditional Arabic"/>
          <w:rtl/>
        </w:rPr>
        <w:t xml:space="preserve"> وهذا فرع ثان تعلق به تقي الدين السبكي في تكملة المجموع حين قال: "والأصل أن لا حكم قبل الشرع".</w:t>
      </w:r>
      <w:r>
        <w:rPr>
          <w:rStyle w:val="FootnoteReference"/>
          <w:rFonts w:ascii="Traditional Arabic" w:hAnsi="Traditional Arabic" w:cs="Traditional Arabic" w:eastAsia="Traditional Arabic"/>
          <w:rtl/>
        </w:rPr>
        <w:footnoteReference w:id="106"/>
      </w:r>
    </w:p>
    <w:p>
      <w:pPr>
        <w:pStyle w:val="BodyText1"/>
      </w:pPr>
      <w:r>
        <w:rPr>
          <w:rFonts w:ascii="Traditional Arabic" w:hAnsi="Traditional Arabic" w:cs="Traditional Arabic" w:eastAsia="Traditional Arabic"/>
          <w:rtl/>
        </w:rPr>
        <w:t xml:space="preserve">الثالث: قول الفقهاء «حرام بالعقل» و«جائز بالعقل». وقد أفرد له التاج جوابا قال فيه: "المراد من ذلك إما القياس، وإما أن القاعدة الكلية لما ثبتت من الشرع ورأينا الفرع الجزئي من جملة أقسامها - أدرك العقل دخوله في القاعدة، فقيل: ثبت بالعقل"، ثم قال: "بمعنى أن العقل أدرك النتيجة، لا أنه جعل الوتر سنة".</w:t>
      </w:r>
      <w:r>
        <w:rPr>
          <w:rStyle w:val="FootnoteReference"/>
          <w:rFonts w:ascii="Traditional Arabic" w:hAnsi="Traditional Arabic" w:cs="Traditional Arabic" w:eastAsia="Traditional Arabic"/>
          <w:rtl/>
        </w:rPr>
        <w:footnoteReference w:id="107"/>
      </w:r>
      <w:r>
        <w:rPr>
          <w:rFonts w:ascii="Traditional Arabic" w:hAnsi="Traditional Arabic" w:cs="Traditional Arabic" w:eastAsia="Traditional Arabic"/>
          <w:rtl/>
        </w:rPr>
        <w:t xml:space="preserve"> فهذه العبارات الفقهية ليست عنده من القول بالتحسين العقلي، وإنما هي من باب أن العقل مدرك لا حاكم؛ فقد قال في توجيه كلام بعضهم: "ومراده بقوله: وإن لم يرد شرع، أي: خبر خاص لا القول بأن العقل يحسن ويقبح كما فهمه الرافعي"، وقد نقل اعتراض الرافعي عليه "بأنه ليس معتقدنا".</w:t>
      </w:r>
      <w:r>
        <w:rPr>
          <w:rStyle w:val="FootnoteReference"/>
          <w:rFonts w:ascii="Traditional Arabic" w:hAnsi="Traditional Arabic" w:cs="Traditional Arabic" w:eastAsia="Traditional Arabic"/>
          <w:rtl/>
        </w:rPr>
        <w:footnoteReference w:id="108"/>
      </w:r>
    </w:p>
    <w:p>
      <w:pPr>
        <w:pStyle w:val="BodyText1"/>
      </w:pPr>
      <w:r>
        <w:rPr>
          <w:rFonts w:ascii="Traditional Arabic" w:hAnsi="Traditional Arabic" w:cs="Traditional Arabic" w:eastAsia="Traditional Arabic"/>
          <w:rtl/>
        </w:rPr>
        <w:t xml:space="preserve">الرابع: تعذيب الطائع وتكليف ما لا يطاق. وهما مما يذكر في آخر هذه المسألة عند الحنفية؛ فقد عد صاحب تيسير التحرير الأصول التي تحتها ثلاثة، آخرها استلزام الاتصاف منع تعذيب الطائع وتكليف ما لا يطاق من الله تعالى.</w:t>
      </w:r>
      <w:r>
        <w:rPr>
          <w:rStyle w:val="FootnoteReference"/>
          <w:rFonts w:ascii="Traditional Arabic" w:hAnsi="Traditional Arabic" w:cs="Traditional Arabic" w:eastAsia="Traditional Arabic"/>
          <w:rtl/>
        </w:rPr>
        <w:footnoteReference w:id="109"/>
      </w:r>
      <w:r>
        <w:rPr>
          <w:rFonts w:ascii="Traditional Arabic" w:hAnsi="Traditional Arabic" w:cs="Traditional Arabic" w:eastAsia="Traditional Arabic"/>
          <w:rtl/>
        </w:rPr>
        <w:t xml:space="preserve"> وفي الطبقات في سياق الخلاف بين الأشعري وأبي حنيفة: "وعندهم يجب تعذيب العاصي وإثابة المطيع ويمتنع العكس"، ومراده بالضمير الحنفية فيما يظهر لي من السياق.</w:t>
      </w:r>
      <w:r>
        <w:rPr>
          <w:rStyle w:val="FootnoteReference"/>
          <w:rFonts w:ascii="Traditional Arabic" w:hAnsi="Traditional Arabic" w:cs="Traditional Arabic" w:eastAsia="Traditional Arabic"/>
          <w:rtl/>
        </w:rPr>
        <w:footnoteReference w:id="110"/>
      </w:r>
    </w:p>
    <w:p>
      <w:pPr>
        <w:pStyle w:val="BodyText1"/>
      </w:pPr>
      <w:r>
        <w:rPr>
          <w:rFonts w:ascii="Traditional Arabic" w:hAnsi="Traditional Arabic" w:cs="Traditional Arabic" w:eastAsia="Traditional Arabic"/>
          <w:rtl/>
        </w:rPr>
        <w:t xml:space="preserve">#٤ رابعا: وجه استنباط السبكي</w:t>
      </w:r>
    </w:p>
    <w:p>
      <w:pPr>
        <w:pStyle w:val="BodyText1"/>
      </w:pPr>
      <w:r>
        <w:rPr>
          <w:rFonts w:ascii="Traditional Arabic" w:hAnsi="Traditional Arabic" w:cs="Traditional Arabic" w:eastAsia="Traditional Arabic"/>
          <w:rtl/>
        </w:rPr>
        <w:t xml:space="preserve">#٥ السياق</w:t>
      </w:r>
    </w:p>
    <w:p>
      <w:pPr>
        <w:pStyle w:val="BodyText1"/>
      </w:pPr>
      <w:r>
        <w:rPr>
          <w:rFonts w:ascii="Traditional Arabic" w:hAnsi="Traditional Arabic" w:cs="Traditional Arabic" w:eastAsia="Traditional Arabic"/>
          <w:rtl/>
        </w:rPr>
        <w:t xml:space="preserve">ليس لهذه القاعدة عند تقي الدين السبكي سياق واحد، بل هو في كل موضع من المواضع التي ذكرت يستعملها أصلا لحل مسألة أخرى. فسياقها الأول في الفتاوى جواب عن أسئلة طرابلس في عموم الرسالة، وهي مسألة تتصل بأصل التكليف: من المكلف، ومتى يتعلق به التكليف، وبماذا تقوم عليه الحجة. وسياقها الثاني تفسير آية {أفلا تعقلون}، وسياقها الثالث حال الخمر قبل تحريمها في تكملة المجموع، وسياقها الرابع تعداد ما يتوقف عليه الوجوب في مقدمة الواجب. فالقاعدة عنده ليست موضوعا يقصد إلى تقريره، وإنما هي أصل يبنى عليه، وهذا هو الوجه الذي ينبغي أن يقرأ به كلامه.</w:t>
      </w:r>
    </w:p>
    <w:p>
      <w:pPr>
        <w:pStyle w:val="BodyText1"/>
      </w:pPr>
      <w:r>
        <w:rPr>
          <w:rFonts w:ascii="Traditional Arabic" w:hAnsi="Traditional Arabic" w:cs="Traditional Arabic" w:eastAsia="Traditional Arabic"/>
          <w:rtl/>
        </w:rPr>
        <w:t xml:space="preserve">وكان الأشاعرة قد قرروا هذا الأصل قبله؛ فقد قال الغزالي: "ولا حكم للأفعال قبل ورود الشرع"،</w:t>
      </w:r>
      <w:r>
        <w:rPr>
          <w:rStyle w:val="FootnoteReference"/>
          <w:rFonts w:ascii="Traditional Arabic" w:hAnsi="Traditional Arabic" w:cs="Traditional Arabic" w:eastAsia="Traditional Arabic"/>
          <w:rtl/>
        </w:rPr>
        <w:footnoteReference w:id="111"/>
      </w:r>
      <w:r>
        <w:rPr>
          <w:rFonts w:ascii="Traditional Arabic" w:hAnsi="Traditional Arabic" w:cs="Traditional Arabic" w:eastAsia="Traditional Arabic"/>
          <w:rtl/>
        </w:rPr>
        <w:t xml:space="preserve"> وقال الآمدي: "وأنه لا حكم قبل ورود الشرع"،</w:t>
      </w:r>
      <w:r>
        <w:rPr>
          <w:rStyle w:val="FootnoteReference"/>
          <w:rFonts w:ascii="Traditional Arabic" w:hAnsi="Traditional Arabic" w:cs="Traditional Arabic" w:eastAsia="Traditional Arabic"/>
          <w:rtl/>
        </w:rPr>
        <w:footnoteReference w:id="112"/>
      </w:r>
      <w:r>
        <w:rPr>
          <w:rFonts w:ascii="Traditional Arabic" w:hAnsi="Traditional Arabic" w:cs="Traditional Arabic" w:eastAsia="Traditional Arabic"/>
          <w:rtl/>
        </w:rPr>
        <w:t xml:space="preserve"> وقال القرافي: "فعلى رأينا لا يثبت حكم قبل الشرع".</w:t>
      </w:r>
      <w:r>
        <w:rPr>
          <w:rStyle w:val="FootnoteReference"/>
          <w:rFonts w:ascii="Traditional Arabic" w:hAnsi="Traditional Arabic" w:cs="Traditional Arabic" w:eastAsia="Traditional Arabic"/>
          <w:rtl/>
        </w:rPr>
        <w:footnoteReference w:id="113"/>
      </w:r>
      <w:r>
        <w:rPr>
          <w:rFonts w:ascii="Traditional Arabic" w:hAnsi="Traditional Arabic" w:cs="Traditional Arabic" w:eastAsia="Traditional Arabic"/>
          <w:rtl/>
        </w:rPr>
        <w:t xml:space="preserve"> فأصل القاعدة ليس من إنشاء تقي الدين السبكي، وإنما الذي ينسب إليه هو وجه إعماله في المسائل التي ذكرت، وهو ما يعنيني في هذا الفرع.</w:t>
      </w:r>
      <w:r>
        <w:rPr>
          <w:rStyle w:val="FootnoteReference"/>
          <w:rFonts w:ascii="Traditional Arabic" w:hAnsi="Traditional Arabic" w:cs="Traditional Arabic" w:eastAsia="Traditional Arabic"/>
          <w:rtl/>
        </w:rPr>
        <w:footnoteReference w:id="114"/>
      </w:r>
    </w:p>
    <w:p>
      <w:pPr>
        <w:pStyle w:val="BodyText1"/>
      </w:pPr>
      <w:r>
        <w:rPr>
          <w:rFonts w:ascii="Traditional Arabic" w:hAnsi="Traditional Arabic" w:cs="Traditional Arabic" w:eastAsia="Traditional Arabic"/>
          <w:rtl/>
        </w:rPr>
        <w:t xml:space="preserve">#٥ المسلك الأول: عرض الإشكال على القاعدة ثم تعداد المخارج</w:t>
      </w:r>
    </w:p>
    <w:p>
      <w:pPr>
        <w:pStyle w:val="BodyText1"/>
      </w:pPr>
      <w:r>
        <w:rPr>
          <w:rFonts w:ascii="Traditional Arabic" w:hAnsi="Traditional Arabic" w:cs="Traditional Arabic" w:eastAsia="Traditional Arabic"/>
          <w:rtl/>
        </w:rPr>
        <w:t xml:space="preserve">وأول ما يستوقف في الجواب أن الآية {وما كنا معذبين حتى نبعث رسولا} واردة في كلام السائل، ولم أقف على استدلال تقي الدين السبكي بها ابتداء على نفي التعذيب قبل الرسول؛ وإنما احتاج إلى أن يبين أنها لا تعارض ما قرره. وفي ذلك قال: "ولا خلاف أن إبليس مكلف معذب لمخالفته أمر الله تعالى قبل أن يأتيه رسول لا إنسي ولا جني".</w:t>
      </w:r>
      <w:r>
        <w:rPr>
          <w:rStyle w:val="FootnoteReference"/>
          <w:rFonts w:ascii="Traditional Arabic" w:hAnsi="Traditional Arabic" w:cs="Traditional Arabic" w:eastAsia="Traditional Arabic"/>
          <w:rtl/>
        </w:rPr>
        <w:footnoteReference w:id="115"/>
      </w:r>
      <w:r>
        <w:rPr>
          <w:rFonts w:ascii="Traditional Arabic" w:hAnsi="Traditional Arabic" w:cs="Traditional Arabic" w:eastAsia="Traditional Arabic"/>
          <w:rtl/>
        </w:rPr>
        <w:t xml:space="preserve"> فجعل تعذيب إبليس قبل مجيء الرسول إيرادا على عموم الآية، ثم ساق خمسة مخارج: الأول تخصيص الآية، والثاني أن العقل قائم مقام الرسول عند من يثبت الأحكام بالعقل، والثالث أن الرسول قد يكون من الملائكة، والرابع أن التكليف يحصل بسماع كلام الله تعالى، والخامس أنه يحصل بخلق علم.</w:t>
      </w:r>
      <w:r>
        <w:rPr>
          <w:rStyle w:val="FootnoteReference"/>
          <w:rFonts w:ascii="Traditional Arabic" w:hAnsi="Traditional Arabic" w:cs="Traditional Arabic" w:eastAsia="Traditional Arabic"/>
          <w:rtl/>
        </w:rPr>
        <w:footnoteReference w:id="116"/>
      </w:r>
    </w:p>
    <w:p>
      <w:pPr>
        <w:pStyle w:val="BodyText1"/>
      </w:pPr>
      <w:r>
        <w:rPr>
          <w:rFonts w:ascii="Traditional Arabic" w:hAnsi="Traditional Arabic" w:cs="Traditional Arabic" w:eastAsia="Traditional Arabic"/>
          <w:rtl/>
        </w:rPr>
        <w:t xml:space="preserve">وأصل هذه المخارج في كلامه السابق على ذلك، وهو قوله في الجن قبل آدم: "ولم ينقل لنا كيف كان تكليفهم هل هو بسماع كلام الله تعالى أو بعلم ضروري واستدلالي"،</w:t>
      </w:r>
      <w:r>
        <w:rPr>
          <w:rStyle w:val="FootnoteReference"/>
          <w:rFonts w:ascii="Traditional Arabic" w:hAnsi="Traditional Arabic" w:cs="Traditional Arabic" w:eastAsia="Traditional Arabic"/>
          <w:rtl/>
        </w:rPr>
        <w:footnoteReference w:id="117"/>
      </w:r>
      <w:r>
        <w:rPr>
          <w:rFonts w:ascii="Traditional Arabic" w:hAnsi="Traditional Arabic" w:cs="Traditional Arabic" w:eastAsia="Traditional Arabic"/>
          <w:rtl/>
        </w:rPr>
        <w:t xml:space="preserve"> وقوله فيما تقدم: "وتكليفهم إما بسماع كلام الله تعالى وإما بخلق علم ضروري بما يؤمرون به وينهون عنه وإما بأن يرسل بعضهم إلى بعض".</w:t>
      </w:r>
      <w:r>
        <w:rPr>
          <w:rStyle w:val="FootnoteReference"/>
          <w:rFonts w:ascii="Traditional Arabic" w:hAnsi="Traditional Arabic" w:cs="Traditional Arabic" w:eastAsia="Traditional Arabic"/>
          <w:rtl/>
        </w:rPr>
        <w:footnoteReference w:id="118"/>
      </w:r>
      <w:r>
        <w:rPr>
          <w:rFonts w:ascii="Traditional Arabic" w:hAnsi="Traditional Arabic" w:cs="Traditional Arabic" w:eastAsia="Traditional Arabic"/>
          <w:rtl/>
        </w:rPr>
        <w:t xml:space="preserve"> فالمخارج الخمسة ليست من جنس واحد: فمنها ما يتعلق بصفة الرسول، ومنها ما يتعلق بطريق البلاغ من غير رسول من البشر، ومنها ما يخص من يثبت الأحكام بالعقل.</w:t>
      </w:r>
    </w:p>
    <w:p>
      <w:pPr>
        <w:pStyle w:val="BodyText1"/>
      </w:pPr>
      <w:r>
        <w:rPr>
          <w:rFonts w:ascii="Traditional Arabic" w:hAnsi="Traditional Arabic" w:cs="Traditional Arabic" w:eastAsia="Traditional Arabic"/>
          <w:rtl/>
        </w:rPr>
        <w:t xml:space="preserve">وقد أجاب المعتزلة قبله عن الآية بما يؤول إلى أن العقل حجة قبل الرسل، فحكى الكيا الهراسي عنهم جوابين وأبطلهما،</w:t>
      </w:r>
      <w:r>
        <w:rPr>
          <w:rStyle w:val="FootnoteReference"/>
          <w:rFonts w:ascii="Traditional Arabic" w:hAnsi="Traditional Arabic" w:cs="Traditional Arabic" w:eastAsia="Traditional Arabic"/>
          <w:rtl/>
        </w:rPr>
        <w:footnoteReference w:id="119"/>
      </w:r>
      <w:r>
        <w:rPr>
          <w:rFonts w:ascii="Traditional Arabic" w:hAnsi="Traditional Arabic" w:cs="Traditional Arabic" w:eastAsia="Traditional Arabic"/>
          <w:rtl/>
        </w:rPr>
        <w:t xml:space="preserve"> وجعل الزمخشري بعثة الرسل من التنبيه.</w:t>
      </w:r>
      <w:r>
        <w:rPr>
          <w:rStyle w:val="FootnoteReference"/>
          <w:rFonts w:ascii="Traditional Arabic" w:hAnsi="Traditional Arabic" w:cs="Traditional Arabic" w:eastAsia="Traditional Arabic"/>
          <w:rtl/>
        </w:rPr>
        <w:footnoteReference w:id="120"/>
      </w:r>
      <w:r>
        <w:rPr>
          <w:rFonts w:ascii="Traditional Arabic" w:hAnsi="Traditional Arabic" w:cs="Traditional Arabic" w:eastAsia="Traditional Arabic"/>
          <w:rtl/>
        </w:rPr>
        <w:t xml:space="preserve"> وأما إيراد قصة إبليس على الاستدلال بالآية فلم أقف - فيما بحثت فيه من كتب الأصول والتفسير المذكورة - على من سبقه إليه، وهذا هو موضع الزيادة في صنيعه، وقد قيدته بالوقوف لأنه نفي لا يتحقق إلا باستقصاء لم أبلغه.</w:t>
      </w:r>
    </w:p>
    <w:p>
      <w:pPr>
        <w:pStyle w:val="BodyText1"/>
      </w:pPr>
      <w:r>
        <w:rPr>
          <w:rFonts w:ascii="Traditional Arabic" w:hAnsi="Traditional Arabic" w:cs="Traditional Arabic" w:eastAsia="Traditional Arabic"/>
          <w:rtl/>
        </w:rPr>
        <w:t xml:space="preserve">وهذا هو موضع الدقة في كلامه: فإنه لم يرجح بين المخارج الخمسة، ولم يجعل «العقل قائم مقام الرسول» جوابا يرتضيه، وإنما نسبه إلى «من يثبت الأحكام بالعقل». فهو عنده مخرج يتعين على المعتزلة لا على الأشاعرة. وهذا يوافق ما قرره صاحب الانتصاف في الكشاف حين جعل سؤال الزمخشري "إنما يتوجه على قدري"، وأن «السني» لا يتوجه عليه هذا السؤال.</w:t>
      </w:r>
      <w:r>
        <w:rPr>
          <w:rStyle w:val="FootnoteReference"/>
          <w:rFonts w:ascii="Traditional Arabic" w:hAnsi="Traditional Arabic" w:cs="Traditional Arabic" w:eastAsia="Traditional Arabic"/>
          <w:rtl/>
        </w:rPr>
        <w:footnoteReference w:id="121"/>
      </w:r>
    </w:p>
    <w:p>
      <w:pPr>
        <w:pStyle w:val="BodyText1"/>
      </w:pPr>
      <w:r>
        <w:rPr>
          <w:rFonts w:ascii="Traditional Arabic" w:hAnsi="Traditional Arabic" w:cs="Traditional Arabic" w:eastAsia="Traditional Arabic"/>
          <w:rtl/>
        </w:rPr>
        <w:t xml:space="preserve">#٥ المسلك الثاني: تقييد الآية بالسياق وبالأمم ذات الرسل</w:t>
      </w:r>
    </w:p>
    <w:p>
      <w:pPr>
        <w:pStyle w:val="BodyText1"/>
      </w:pPr>
      <w:r>
        <w:rPr>
          <w:rFonts w:ascii="Traditional Arabic" w:hAnsi="Traditional Arabic" w:cs="Traditional Arabic" w:eastAsia="Traditional Arabic"/>
          <w:rtl/>
        </w:rPr>
        <w:t xml:space="preserve">والمسلك الثاني تقييد الآية من جهتين: جهة السياق، وجهة الأمم. فقال في الأولى: "سياق الكلام الذي قبله يدل على أنه في الإنس"، مستشهدا بقوله تعالى {وكل إنسان ألزمناه طائره في عنقه}.</w:t>
      </w:r>
      <w:r>
        <w:rPr>
          <w:rStyle w:val="FootnoteReference"/>
          <w:rFonts w:ascii="Traditional Arabic" w:hAnsi="Traditional Arabic" w:cs="Traditional Arabic" w:eastAsia="Traditional Arabic"/>
          <w:rtl/>
        </w:rPr>
        <w:footnoteReference w:id="122"/>
      </w:r>
      <w:r>
        <w:rPr>
          <w:rFonts w:ascii="Traditional Arabic" w:hAnsi="Traditional Arabic" w:cs="Traditional Arabic" w:eastAsia="Traditional Arabic"/>
          <w:rtl/>
        </w:rPr>
        <w:t xml:space="preserve"> وقال في الثانية: "وتوقيف التكليف على الرسول إنما هو في هذه الأمم التي فيها الرسل".</w:t>
      </w:r>
      <w:r>
        <w:rPr>
          <w:rStyle w:val="FootnoteReference"/>
          <w:rFonts w:ascii="Traditional Arabic" w:hAnsi="Traditional Arabic" w:cs="Traditional Arabic" w:eastAsia="Traditional Arabic"/>
          <w:rtl/>
        </w:rPr>
        <w:footnoteReference w:id="123"/>
      </w:r>
      <w:r>
        <w:rPr>
          <w:rFonts w:ascii="Traditional Arabic" w:hAnsi="Traditional Arabic" w:cs="Traditional Arabic" w:eastAsia="Traditional Arabic"/>
          <w:rtl/>
        </w:rPr>
        <w:t xml:space="preserve"> وبه يخرج إبليس، ويخرج الجن قبل آدم، من عموم الآية، من غير حاجة إلى القول بأن العقل حاكم.</w:t>
      </w:r>
    </w:p>
    <w:p>
      <w:pPr>
        <w:pStyle w:val="BodyText1"/>
      </w:pPr>
      <w:r>
        <w:rPr>
          <w:rFonts w:ascii="Traditional Arabic" w:hAnsi="Traditional Arabic" w:cs="Traditional Arabic" w:eastAsia="Traditional Arabic"/>
          <w:rtl/>
        </w:rPr>
        <w:t xml:space="preserve">وقد يقال: إن في هذا التقييد تسليما بأن التكليف قد يثبت بغير رسول من البشر، فيعارض أصل القاعدة. والجواب - فيما يظهر لي - أن الذي عده طريقا لتكليف من لا رسول لهم هو سماع كلام الله تعالى أو خلق العلم الضروري، وهما من فعل الله تعالى لا من حكم العقل؛ غير أنه قال - كما تقدم - "علم ضروري واستدلالي"، ولم أقف له على تفصيل لهذا الاستدلالي، فلا أجزم بالجواب.</w:t>
      </w:r>
      <w:r>
        <w:rPr>
          <w:rStyle w:val="FootnoteReference"/>
          <w:rFonts w:ascii="Traditional Arabic" w:hAnsi="Traditional Arabic" w:cs="Traditional Arabic" w:eastAsia="Traditional Arabic"/>
          <w:rtl/>
        </w:rPr>
        <w:footnoteReference w:id="124"/>
      </w:r>
    </w:p>
    <w:p>
      <w:pPr>
        <w:pStyle w:val="BodyText1"/>
      </w:pPr>
      <w:r>
        <w:rPr>
          <w:rFonts w:ascii="Traditional Arabic" w:hAnsi="Traditional Arabic" w:cs="Traditional Arabic" w:eastAsia="Traditional Arabic"/>
          <w:rtl/>
        </w:rPr>
        <w:t xml:space="preserve">وهذا المسلك لم أقف عليه عند من استدل بالآية من الأصوليين الذين ذكرتهم؛ فإنهم يعدونها عامة في نفي التعذيب قبل البعثة، كما قال ابن كثير: "لا يعذب أحدا إلا بعد قيام الحجة عليه بإرسال الرسول إليه".</w:t>
      </w:r>
      <w:r>
        <w:rPr>
          <w:rStyle w:val="FootnoteReference"/>
          <w:rFonts w:ascii="Traditional Arabic" w:hAnsi="Traditional Arabic" w:cs="Traditional Arabic" w:eastAsia="Traditional Arabic"/>
          <w:rtl/>
        </w:rPr>
        <w:footnoteReference w:id="125"/>
      </w:r>
    </w:p>
    <w:p>
      <w:pPr>
        <w:pStyle w:val="BodyText1"/>
      </w:pPr>
      <w:r>
        <w:rPr>
          <w:rFonts w:ascii="Traditional Arabic" w:hAnsi="Traditional Arabic" w:cs="Traditional Arabic" w:eastAsia="Traditional Arabic"/>
          <w:rtl/>
        </w:rPr>
        <w:t xml:space="preserve">#٥ المسلك الثالث: التقدير الشرطي، فلا يتوقف الجواب على حسم الخلاف</w:t>
      </w:r>
    </w:p>
    <w:p>
      <w:pPr>
        <w:pStyle w:val="BodyText1"/>
      </w:pPr>
      <w:r>
        <w:rPr>
          <w:rFonts w:ascii="Traditional Arabic" w:hAnsi="Traditional Arabic" w:cs="Traditional Arabic" w:eastAsia="Traditional Arabic"/>
          <w:rtl/>
        </w:rPr>
        <w:t xml:space="preserve">والمسلك الثالث - وهو أدق ما في كلامه - أنه بعد أن قرر الجواب على مذهبه، بين أن النتيجة لا تتوقف عليه. فقال: "وهذا كله على مذهبنا في أن الأحكام كلها أصولها وفروعها لا تثبت إلا بالشرع، وأما المعتزلة القائلون بأنها تثبت بالعقل فيكتفون في إغراق فرعون ونحوه بقيام الدليل العقلي عليه وبالإيمان ومخالفته"، ثم قال: "وعلى كل تقدير فرض سواء قلنا بقول المعتزلة أو بما مر بي من كلام بعض الناس أو بما قلناه".</w:t>
      </w:r>
      <w:r>
        <w:rPr>
          <w:rStyle w:val="FootnoteReference"/>
          <w:rFonts w:ascii="Traditional Arabic" w:hAnsi="Traditional Arabic" w:cs="Traditional Arabic" w:eastAsia="Traditional Arabic"/>
          <w:rtl/>
        </w:rPr>
        <w:footnoteReference w:id="126"/>
      </w:r>
      <w:r>
        <w:rPr>
          <w:rFonts w:ascii="Traditional Arabic" w:hAnsi="Traditional Arabic" w:cs="Traditional Arabic" w:eastAsia="Traditional Arabic"/>
          <w:rtl/>
        </w:rPr>
        <w:t xml:space="preserve"> فهو يعرض المسألة على ثلاثة تقديرات: قول المعتزلة، وكلام بعض الناس، وقوله هو، ثم يبين أنه لا يلزم على أي منها أن تكون دعوة كل نبي بالإيمان عامة كدعوة النبي صلى الله عليه وسلم.</w:t>
      </w:r>
    </w:p>
    <w:p>
      <w:pPr>
        <w:pStyle w:val="BodyText1"/>
      </w:pPr>
      <w:r>
        <w:rPr>
          <w:rFonts w:ascii="Traditional Arabic" w:hAnsi="Traditional Arabic" w:cs="Traditional Arabic" w:eastAsia="Traditional Arabic"/>
          <w:rtl/>
        </w:rPr>
        <w:t xml:space="preserve">ومأخذ «بعض الناس» الذي أشار إليه أن الأنبياء كلهم اشتركوا في الدعوة إلى الإيمان، فكان فرعون وقوم نوح مكلفين بدعوة من تقدم من الرسل؛ وقد رده بقوله: "وهذا لا حاجة إليه مع العلم بأن في الطوفان لم يكن في الأرض إلا قوم نوح وبأن فرعون وقومه دخلوا في دعوة موسى بالإيمان".</w:t>
      </w:r>
      <w:r>
        <w:rPr>
          <w:rStyle w:val="FootnoteReference"/>
          <w:rFonts w:ascii="Traditional Arabic" w:hAnsi="Traditional Arabic" w:cs="Traditional Arabic" w:eastAsia="Traditional Arabic"/>
          <w:rtl/>
        </w:rPr>
        <w:footnoteReference w:id="127"/>
      </w:r>
      <w:r>
        <w:rPr>
          <w:rFonts w:ascii="Traditional Arabic" w:hAnsi="Traditional Arabic" w:cs="Traditional Arabic" w:eastAsia="Traditional Arabic"/>
          <w:rtl/>
        </w:rPr>
        <w:t xml:space="preserve"> ويظهر من هذا الرد أنه يطبق القاعدة تطبيقا مباشرا: فغرق فرعون وقومه والطوفان لا يشكلان عليها؛ لأن الرسول جاءهم، وهذا يوافق قوله {وما كنا معذبين حتى نبعث رسولا}.</w:t>
      </w:r>
    </w:p>
    <w:p>
      <w:pPr>
        <w:pStyle w:val="BodyText1"/>
      </w:pPr>
      <w:r>
        <w:rPr>
          <w:rFonts w:ascii="Traditional Arabic" w:hAnsi="Traditional Arabic" w:cs="Traditional Arabic" w:eastAsia="Traditional Arabic"/>
          <w:rtl/>
        </w:rPr>
        <w:t xml:space="preserve">وهذا المسلك قريب مما صنعه التاج في شكر المنعم حين بنى الجواب على قوله: "إنا مفرعون على القول بالحسن والقبح".</w:t>
      </w:r>
      <w:r>
        <w:rPr>
          <w:rStyle w:val="FootnoteReference"/>
          <w:rFonts w:ascii="Traditional Arabic" w:hAnsi="Traditional Arabic" w:cs="Traditional Arabic" w:eastAsia="Traditional Arabic"/>
          <w:rtl/>
        </w:rPr>
        <w:footnoteReference w:id="128"/>
      </w:r>
      <w:r>
        <w:rPr>
          <w:rFonts w:ascii="Traditional Arabic" w:hAnsi="Traditional Arabic" w:cs="Traditional Arabic" w:eastAsia="Traditional Arabic"/>
          <w:rtl/>
        </w:rPr>
        <w:t xml:space="preserve"> غير أن التاج يبني على تسليم قول الخصم تنزلا، وتقي الدين السبكي يبني الجواب على كل تقدير ممكن، ولا يشترط تسليم قول الخصم ولا إبطاله.</w:t>
      </w:r>
    </w:p>
    <w:p>
      <w:pPr>
        <w:pStyle w:val="BodyText1"/>
      </w:pPr>
      <w:r>
        <w:rPr>
          <w:rFonts w:ascii="Traditional Arabic" w:hAnsi="Traditional Arabic" w:cs="Traditional Arabic" w:eastAsia="Traditional Arabic"/>
          <w:rtl/>
        </w:rPr>
        <w:t xml:space="preserve">#٥ المسلك الرابع: ربط العقل بالشرع في الاستحالة</w:t>
      </w:r>
    </w:p>
    <w:p>
      <w:pPr>
        <w:pStyle w:val="BodyText1"/>
      </w:pPr>
      <w:r>
        <w:rPr>
          <w:rFonts w:ascii="Traditional Arabic" w:hAnsi="Traditional Arabic" w:cs="Traditional Arabic" w:eastAsia="Traditional Arabic"/>
          <w:rtl/>
        </w:rPr>
        <w:t xml:space="preserve">والمسلك الرابع مأخوذ من كلامه على {أفلا تعقلون}. فقد ذكر أن الله أشار بقوله {أفلا تعقلون} "إلى قبح حالهم"، ثم قال: "ففيه إشارة إلى أن الجمع بين النقيضين مستحيل في العقل ومستحيل في الشرع أيضا".</w:t>
      </w:r>
      <w:r>
        <w:rPr>
          <w:rStyle w:val="FootnoteReference"/>
          <w:rFonts w:ascii="Traditional Arabic" w:hAnsi="Traditional Arabic" w:cs="Traditional Arabic" w:eastAsia="Traditional Arabic"/>
          <w:rtl/>
        </w:rPr>
        <w:footnoteReference w:id="129"/>
      </w:r>
      <w:r>
        <w:rPr>
          <w:rFonts w:ascii="Traditional Arabic" w:hAnsi="Traditional Arabic" w:cs="Traditional Arabic" w:eastAsia="Traditional Arabic"/>
          <w:rtl/>
        </w:rPr>
        <w:t xml:space="preserve"> فاستعمل لفظ «القبح» في حال قام الدليل العقلي على تناقضها، وهو - فيما يظهر لي - من جنس ما لا نزاع في عقليته، أي إدراك العقل لما فيه من نقص ومخالفة لمقتضاه. ثم رد على بعض أصحابه الفقهاء بقوله: "فإن كل ما استحال في العقل استحال في الشرع".</w:t>
      </w:r>
      <w:r>
        <w:rPr>
          <w:rStyle w:val="FootnoteReference"/>
          <w:rFonts w:ascii="Traditional Arabic" w:hAnsi="Traditional Arabic" w:cs="Traditional Arabic" w:eastAsia="Traditional Arabic"/>
          <w:rtl/>
        </w:rPr>
        <w:footnoteReference w:id="130"/>
      </w:r>
    </w:p>
    <w:p>
      <w:pPr>
        <w:pStyle w:val="BodyText1"/>
      </w:pPr>
      <w:r>
        <w:rPr>
          <w:rFonts w:ascii="Traditional Arabic" w:hAnsi="Traditional Arabic" w:cs="Traditional Arabic" w:eastAsia="Traditional Arabic"/>
          <w:rtl/>
        </w:rPr>
        <w:t xml:space="preserve">ووجه الاستنباط - فيما يظهر لي - أن الشرع لا يرد بما يناقض ما يدركه العقل من الاستحالة، وإن كان العقل لا يوجب ولا يحرم؛ فعدم حاكمية العقل عنده لا يعني تعطيله في باب الاستحالة. وهذا المعنى هو الذي قرره الزركشي في تنبيه له، فقال في إدراك الحكم الشرعي في القياس أو دخول الفرع تحت القاعدة: "وإن كان بالعقل، فالمراد به أن العقل مدرك للحكم، لا أنه حاكم".</w:t>
      </w:r>
      <w:r>
        <w:rPr>
          <w:rStyle w:val="FootnoteReference"/>
          <w:rFonts w:ascii="Traditional Arabic" w:hAnsi="Traditional Arabic" w:cs="Traditional Arabic" w:eastAsia="Traditional Arabic"/>
          <w:rtl/>
        </w:rPr>
        <w:footnoteReference w:id="131"/>
      </w:r>
      <w:r>
        <w:rPr>
          <w:rFonts w:ascii="Traditional Arabic" w:hAnsi="Traditional Arabic" w:cs="Traditional Arabic" w:eastAsia="Traditional Arabic"/>
          <w:rtl/>
        </w:rPr>
        <w:t xml:space="preserve"> وفي الإبهاج قريب منه: "بمعنى أن العقل أدرك النتيجة، لا أنه جعل الوتر سنة".</w:t>
      </w:r>
      <w:r>
        <w:rPr>
          <w:rStyle w:val="FootnoteReference"/>
          <w:rFonts w:ascii="Traditional Arabic" w:hAnsi="Traditional Arabic" w:cs="Traditional Arabic" w:eastAsia="Traditional Arabic"/>
          <w:rtl/>
        </w:rPr>
        <w:footnoteReference w:id="132"/>
      </w:r>
      <w:r>
        <w:rPr>
          <w:rFonts w:ascii="Traditional Arabic" w:hAnsi="Traditional Arabic" w:cs="Traditional Arabic" w:eastAsia="Traditional Arabic"/>
          <w:rtl/>
        </w:rPr>
        <w:t xml:space="preserve"> والذي زاده تقي الدين السبكي هنا - فيما وقفت عليه - أنه جعل الاستحالة العقلية مانعا من تخريج فقهي بعينه، وهو مسألة «أعتق عبدك عني»، بدل أن يكتفي بتقرير الإدراك والحكم في الأصول.</w:t>
      </w:r>
    </w:p>
    <w:p>
      <w:pPr>
        <w:pStyle w:val="BodyText1"/>
      </w:pPr>
      <w:r>
        <w:rPr>
          <w:rFonts w:ascii="Traditional Arabic" w:hAnsi="Traditional Arabic" w:cs="Traditional Arabic" w:eastAsia="Traditional Arabic"/>
          <w:rtl/>
        </w:rPr>
        <w:t xml:space="preserve">#٥ المسلك الخامس: الأصل الفقهي في حال الأشياء قبل الشرع</w:t>
      </w:r>
    </w:p>
    <w:p>
      <w:pPr>
        <w:pStyle w:val="BodyText1"/>
      </w:pPr>
      <w:r>
        <w:rPr>
          <w:rFonts w:ascii="Traditional Arabic" w:hAnsi="Traditional Arabic" w:cs="Traditional Arabic" w:eastAsia="Traditional Arabic"/>
          <w:rtl/>
        </w:rPr>
        <w:t xml:space="preserve">والمسلك الخامس في تكملة المجموع، حين تعارضت الأدلة في حال الخمر قبل تحريمها. فقد قال: "واعلم أن الأدلة في حال الخمر قبل تحريمها متعارضة"، ثم ذكر ما يقتضي أنها كانت مباحة، ثم قال: "وإن نظرنا إلى ما ادعاه الغزالي من أن السكر لم يزل محرما في كل ملة، وأخذنا بظاهر الحال من أن المحرمات نزلت شيئا فشيئا من غير أن يكون نسخا لإباحة متقدمة، اقتضى ذلك ألا يحكم عليها بشيء"، ثم قال: "وإن ثبت أنها كانت باقية على حكم الأصل، والأصل أن لا حكم قبل الشرع، فيبقى النظر".</w:t>
      </w:r>
      <w:r>
        <w:rPr>
          <w:rStyle w:val="FootnoteReference"/>
          <w:rFonts w:ascii="Traditional Arabic" w:hAnsi="Traditional Arabic" w:cs="Traditional Arabic" w:eastAsia="Traditional Arabic"/>
          <w:rtl/>
        </w:rPr>
        <w:footnoteReference w:id="133"/>
      </w:r>
    </w:p>
    <w:p>
      <w:pPr>
        <w:pStyle w:val="BodyText1"/>
      </w:pPr>
      <w:r>
        <w:rPr>
          <w:rFonts w:ascii="Traditional Arabic" w:hAnsi="Traditional Arabic" w:cs="Traditional Arabic" w:eastAsia="Traditional Arabic"/>
          <w:rtl/>
        </w:rPr>
        <w:t xml:space="preserve">فهو يستعمل القاعدة هنا أصلا يرجع إليه عند تعارض الأدلة، ولا يقطع بنتيجة المسألة، بل ينتقل بعد قوله «فيبقى النظر» إلى النظر في وصف الاحترام في الخمر،</w:t>
      </w:r>
      <w:r>
        <w:rPr>
          <w:rStyle w:val="FootnoteReference"/>
          <w:rFonts w:ascii="Traditional Arabic" w:hAnsi="Traditional Arabic" w:cs="Traditional Arabic" w:eastAsia="Traditional Arabic"/>
          <w:rtl/>
        </w:rPr>
        <w:footnoteReference w:id="134"/>
      </w:r>
      <w:r>
        <w:rPr>
          <w:rFonts w:ascii="Traditional Arabic" w:hAnsi="Traditional Arabic" w:cs="Traditional Arabic" w:eastAsia="Traditional Arabic"/>
          <w:rtl/>
        </w:rPr>
        <w:t xml:space="preserve"> وهذا يدل على أنه يعتمد القاعدة في الفقه اعتماده إياها في الأصول، وأنه يجعلها أصلا لا يخرج عنه إلا بدليل. وقد سبقه إلى تقرير الأصل نفسه الغزالي والآمدي والقرافي كما تقدم، والذي زاده - فيما وقفت عليه - أنه جعل الأصل حكما بين دليلين متعارضين في مسألة فقهية، لا موضوعا للاستدلال الكلامي.</w:t>
      </w:r>
    </w:p>
    <w:p>
      <w:pPr>
        <w:pStyle w:val="BodyText1"/>
      </w:pPr>
      <w:r>
        <w:rPr>
          <w:rFonts w:ascii="Traditional Arabic" w:hAnsi="Traditional Arabic" w:cs="Traditional Arabic" w:eastAsia="Traditional Arabic"/>
          <w:rtl/>
        </w:rPr>
        <w:t xml:space="preserve">#٥ تحرير مأخذ المخالف</w:t>
      </w:r>
    </w:p>
    <w:p>
      <w:pPr>
        <w:pStyle w:val="BodyText1"/>
      </w:pPr>
      <w:r>
        <w:rPr>
          <w:rFonts w:ascii="Traditional Arabic" w:hAnsi="Traditional Arabic" w:cs="Traditional Arabic" w:eastAsia="Traditional Arabic"/>
          <w:rtl/>
        </w:rPr>
        <w:t xml:space="preserve">وأما مأخذ المخالف - وهو القول بأن العقل قائم مقام الرسول - فقد قرره الزمخشري بأن الحجة "لازمة لهم قبل بعثة الرسل لأن معهم أدلة العقل التي بها يعرف الله"، وأن بعثة الرسل "من جملة التنبيه على النظر".</w:t>
      </w:r>
      <w:r>
        <w:rPr>
          <w:rStyle w:val="FootnoteReference"/>
          <w:rFonts w:ascii="Traditional Arabic" w:hAnsi="Traditional Arabic" w:cs="Traditional Arabic" w:eastAsia="Traditional Arabic"/>
          <w:rtl/>
        </w:rPr>
        <w:footnoteReference w:id="135"/>
      </w:r>
      <w:r>
        <w:rPr>
          <w:rFonts w:ascii="Traditional Arabic" w:hAnsi="Traditional Arabic" w:cs="Traditional Arabic" w:eastAsia="Traditional Arabic"/>
          <w:rtl/>
        </w:rPr>
        <w:t xml:space="preserve"> ومأخذه أن العقل يكفي في معرفة الله، فالعذاب بعد الإعراض عن النظر عذاب بعد قيام الحجة. وقد أجاب عنه صاحب الانتصاف بأن الآية تنادي القدرية "أن الحجة إنما قدمت على الخلق بالأحكام الشرعية المؤدية إلى الجزاء بإرسال الرسل لا بمجرد العقل"،</w:t>
      </w:r>
      <w:r>
        <w:rPr>
          <w:rStyle w:val="FootnoteReference"/>
          <w:rFonts w:ascii="Traditional Arabic" w:hAnsi="Traditional Arabic" w:cs="Traditional Arabic" w:eastAsia="Traditional Arabic"/>
          <w:rtl/>
        </w:rPr>
        <w:footnoteReference w:id="136"/>
      </w:r>
      <w:r>
        <w:rPr>
          <w:rFonts w:ascii="Traditional Arabic" w:hAnsi="Traditional Arabic" w:cs="Traditional Arabic" w:eastAsia="Traditional Arabic"/>
          <w:rtl/>
        </w:rPr>
        <w:t xml:space="preserve"> وبأن العقل "عمدة في حصول المعرفة لا في وجوبها".</w:t>
      </w:r>
      <w:r>
        <w:rPr>
          <w:rStyle w:val="FootnoteReference"/>
          <w:rFonts w:ascii="Traditional Arabic" w:hAnsi="Traditional Arabic" w:cs="Traditional Arabic" w:eastAsia="Traditional Arabic"/>
          <w:rtl/>
        </w:rPr>
        <w:footnoteReference w:id="137"/>
      </w:r>
      <w:r>
        <w:rPr>
          <w:rFonts w:ascii="Traditional Arabic" w:hAnsi="Traditional Arabic" w:cs="Traditional Arabic" w:eastAsia="Traditional Arabic"/>
          <w:rtl/>
        </w:rPr>
        <w:t xml:space="preserve"> أما تقي الدين السبكي فقد نسب هذا المخرج إلى من يثبت الأحكام بالعقل، ولم يتعرض لإبطاله في هذا الموضع.</w:t>
      </w:r>
    </w:p>
    <w:p>
      <w:pPr>
        <w:pStyle w:val="BodyText1"/>
      </w:pPr>
      <w:r>
        <w:rPr>
          <w:rFonts w:ascii="Traditional Arabic" w:hAnsi="Traditional Arabic" w:cs="Traditional Arabic" w:eastAsia="Traditional Arabic"/>
          <w:rtl/>
        </w:rPr>
        <w:t xml:space="preserve">#٤ خامسا: تصريحه في مصنفاته الأخرى</w:t>
      </w:r>
    </w:p>
    <w:p>
      <w:pPr>
        <w:pStyle w:val="BodyText1"/>
      </w:pPr>
      <w:r>
        <w:rPr>
          <w:rFonts w:ascii="Traditional Arabic" w:hAnsi="Traditional Arabic" w:cs="Traditional Arabic" w:eastAsia="Traditional Arabic"/>
          <w:rtl/>
        </w:rPr>
        <w:t xml:space="preserve">والتصريح في مصنفاته الأخرى على أربعة أوجه.</w:t>
      </w:r>
    </w:p>
    <w:p>
      <w:pPr>
        <w:pStyle w:val="BodyText1"/>
      </w:pPr>
      <w:r>
        <w:rPr>
          <w:rFonts w:ascii="Traditional Arabic" w:hAnsi="Traditional Arabic" w:cs="Traditional Arabic" w:eastAsia="Traditional Arabic"/>
          <w:rtl/>
        </w:rPr>
        <w:t xml:space="preserve">الأول: الفتاوى، وقد تقدم بيانها في (أولا)، وفيها أوسع ما وقفت عليه من كلامه في المسألة: في جواب أسئلة طرابلس (٢/ ٥٩٤ - ٦٢٥)، وفي كلامه على {أفلا تعقلون} (١/ ٢١).</w:t>
      </w:r>
    </w:p>
    <w:p>
      <w:pPr>
        <w:pStyle w:val="BodyText1"/>
      </w:pPr>
      <w:r>
        <w:rPr>
          <w:rFonts w:ascii="Traditional Arabic" w:hAnsi="Traditional Arabic" w:cs="Traditional Arabic" w:eastAsia="Traditional Arabic"/>
          <w:rtl/>
        </w:rPr>
        <w:t xml:space="preserve">والثاني: تكملة المجموع، وفيها قوله: "والأصل أن لا حكم قبل الشرع".</w:t>
      </w:r>
      <w:r>
        <w:rPr>
          <w:rStyle w:val="FootnoteReference"/>
          <w:rFonts w:ascii="Traditional Arabic" w:hAnsi="Traditional Arabic" w:cs="Traditional Arabic" w:eastAsia="Traditional Arabic"/>
          <w:rtl/>
        </w:rPr>
        <w:footnoteReference w:id="138"/>
      </w:r>
      <w:r>
        <w:rPr>
          <w:rFonts w:ascii="Traditional Arabic" w:hAnsi="Traditional Arabic" w:cs="Traditional Arabic" w:eastAsia="Traditional Arabic"/>
          <w:rtl/>
        </w:rPr>
        <w:t xml:space="preserve"> وقد بحثت في مصنفاته المتاحة في المكتبة بعبارتي «الحسن والقبح العقليين» و«التحسين والتقبيح» فلم أقف في الحسن والقبح على غير ما ذكرت.</w:t>
      </w:r>
    </w:p>
    <w:p>
      <w:pPr>
        <w:pStyle w:val="BodyText1"/>
      </w:pPr>
      <w:r>
        <w:rPr>
          <w:rFonts w:ascii="Traditional Arabic" w:hAnsi="Traditional Arabic" w:cs="Traditional Arabic" w:eastAsia="Traditional Arabic"/>
          <w:rtl/>
        </w:rPr>
        <w:t xml:space="preserve">والثالث: الإبهاج، وفيه موضعان ينبغي التمييز بينهما. أما قسم الأب فقد تقدم فيه قوله إن العقل مما يتوقف عليه الوجوب.</w:t>
      </w:r>
      <w:r>
        <w:rPr>
          <w:rStyle w:val="FootnoteReference"/>
          <w:rFonts w:ascii="Traditional Arabic" w:hAnsi="Traditional Arabic" w:cs="Traditional Arabic" w:eastAsia="Traditional Arabic"/>
          <w:rtl/>
        </w:rPr>
        <w:footnoteReference w:id="139"/>
      </w:r>
      <w:r>
        <w:rPr>
          <w:rFonts w:ascii="Traditional Arabic" w:hAnsi="Traditional Arabic" w:cs="Traditional Arabic" w:eastAsia="Traditional Arabic"/>
          <w:rtl/>
        </w:rPr>
        <w:t xml:space="preserve"> وأما مبحث «الحاكم» في الإبهاج (٢/ ٣٦٥ - ٣٨٠) - وفيه الحسن والقبح وشكر المنعم وحكم الأشياء قبل الشرع - فهو بعد الحد الفاصل بين الكلامين، فهو من إنشاء التاج، وقد استفتحه بقوله: "الأول: في الحاكم: وهو الشرع".</w:t>
      </w:r>
      <w:r>
        <w:rPr>
          <w:rStyle w:val="FootnoteReference"/>
          <w:rFonts w:ascii="Traditional Arabic" w:hAnsi="Traditional Arabic" w:cs="Traditional Arabic" w:eastAsia="Traditional Arabic"/>
          <w:rtl/>
        </w:rPr>
        <w:footnoteReference w:id="140"/>
      </w:r>
      <w:r>
        <w:rPr>
          <w:rFonts w:ascii="Traditional Arabic" w:hAnsi="Traditional Arabic" w:cs="Traditional Arabic" w:eastAsia="Traditional Arabic"/>
          <w:rtl/>
        </w:rPr>
        <w:t xml:space="preserve"> ولا يصح أن ينسب إلى والده شيء من هذا الموضع، وإنما يؤخذ منه ما قاله التاج نفسه. وقد قرأت هذه الصفحات كلها فلم أجد فيها نقلا عن والده في المسألة.</w:t>
      </w:r>
      <w:r>
        <w:rPr>
          <w:rStyle w:val="FootnoteReference"/>
          <w:rFonts w:ascii="Traditional Arabic" w:hAnsi="Traditional Arabic" w:cs="Traditional Arabic" w:eastAsia="Traditional Arabic"/>
          <w:rtl/>
        </w:rPr>
        <w:footnoteReference w:id="141"/>
      </w:r>
    </w:p>
    <w:p>
      <w:pPr>
        <w:pStyle w:val="BodyText1"/>
      </w:pPr>
      <w:r>
        <w:rPr>
          <w:rFonts w:ascii="Traditional Arabic" w:hAnsi="Traditional Arabic" w:cs="Traditional Arabic" w:eastAsia="Traditional Arabic"/>
          <w:rtl/>
        </w:rPr>
        <w:t xml:space="preserve">والرابع: الطبقات، وفيها حكاية عنه في موضع الخلاف بين الأشعري وأبي حنيفة، قال التاج: "وقد عرفنا أن الشيخ الإمام كان يقول إن عقيدة الطحاوي لم تشتمل إلا على ثلاث".</w:t>
      </w:r>
      <w:r>
        <w:rPr>
          <w:rStyle w:val="FootnoteReference"/>
          <w:rFonts w:ascii="Traditional Arabic" w:hAnsi="Traditional Arabic" w:cs="Traditional Arabic" w:eastAsia="Traditional Arabic"/>
          <w:rtl/>
        </w:rPr>
        <w:footnoteReference w:id="142"/>
      </w:r>
      <w:r>
        <w:rPr>
          <w:rFonts w:ascii="Traditional Arabic" w:hAnsi="Traditional Arabic" w:cs="Traditional Arabic" w:eastAsia="Traditional Arabic"/>
          <w:rtl/>
        </w:rPr>
        <w:t xml:space="preserve"> وسياقها في ذكر «المسائل المعنوية» وهي ست، وأولها: "أن الرب تعالى له عندنا أن يعذب الطائعين ويثيب العاصين".</w:t>
      </w:r>
      <w:r>
        <w:rPr>
          <w:rStyle w:val="FootnoteReference"/>
          <w:rFonts w:ascii="Traditional Arabic" w:hAnsi="Traditional Arabic" w:cs="Traditional Arabic" w:eastAsia="Traditional Arabic"/>
          <w:rtl/>
        </w:rPr>
        <w:footnoteReference w:id="143"/>
      </w:r>
      <w:r>
        <w:rPr>
          <w:rFonts w:ascii="Traditional Arabic" w:hAnsi="Traditional Arabic" w:cs="Traditional Arabic" w:eastAsia="Traditional Arabic"/>
          <w:rtl/>
        </w:rPr>
        <w:t xml:space="preserve"> فيظهر لي - والله أعلم - أن المراد بالثلاث ثلاث من تلك المسائل الست، ولم أقف على تفصيل لها.</w:t>
      </w:r>
    </w:p>
    <w:p>
      <w:pPr>
        <w:pStyle w:val="BodyText1"/>
      </w:pPr>
      <w:r>
        <w:rPr>
          <w:rFonts w:ascii="Traditional Arabic" w:hAnsi="Traditional Arabic" w:cs="Traditional Arabic" w:eastAsia="Traditional Arabic"/>
          <w:rtl/>
        </w:rPr>
        <w:t xml:space="preserve">وأما ما نقله عنه المتأخرون فقد بحثت في البحر المحيط للزركشي بعبارة (قال الشيخ تقي الدين السبكي) مع (حكم قبل الشرع) و(العقل)، فلم أقف على نقل عنه في المسألة.</w:t>
      </w:r>
    </w:p>
    <w:p>
      <w:pPr>
        <w:pStyle w:val="BodyText1"/>
      </w:pPr>
      <w:r>
        <w:rPr>
          <w:rFonts w:ascii="Traditional Arabic" w:hAnsi="Traditional Arabic" w:cs="Traditional Arabic" w:eastAsia="Traditional Arabic"/>
          <w:rtl/>
        </w:rPr>
        <w:t xml:space="preserve">#٤ سادسا: الترجيح وثمرة القاعدة</w:t>
      </w:r>
    </w:p>
    <w:p>
      <w:pPr>
        <w:pStyle w:val="BodyText1"/>
      </w:pPr>
      <w:r>
        <w:rPr>
          <w:rFonts w:ascii="Traditional Arabic" w:hAnsi="Traditional Arabic" w:cs="Traditional Arabic" w:eastAsia="Traditional Arabic"/>
          <w:rtl/>
        </w:rPr>
        <w:t xml:space="preserve">#٥ الترجيح</w:t>
      </w:r>
    </w:p>
    <w:p>
      <w:pPr>
        <w:pStyle w:val="BodyText1"/>
      </w:pPr>
      <w:r>
        <w:rPr>
          <w:rFonts w:ascii="Traditional Arabic" w:hAnsi="Traditional Arabic" w:cs="Traditional Arabic" w:eastAsia="Traditional Arabic"/>
          <w:rtl/>
        </w:rPr>
        <w:t xml:space="preserve">والذي يترجح - والله أعلم - أن القاعدة بالصياغة التي صغتها صحيحة في ركنيها الأول والثاني على القولين: الأشعري والوسط. وبيانه أن تقي الدين السبكي بناها على الحكم والعذاب، لا على وصف الفعل. أما الحكم فهو بالشرع عند الفريقين: فقد قال ابن القيم - وهو من القائلين بالوسط - إنه "لا ريب أن الوجوب والتحريم اللذين هما متعلق الثواب والعقاب بدون الشرع ممتنع".</w:t>
      </w:r>
      <w:r>
        <w:rPr>
          <w:rStyle w:val="FootnoteReference"/>
          <w:rFonts w:ascii="Traditional Arabic" w:hAnsi="Traditional Arabic" w:cs="Traditional Arabic" w:eastAsia="Traditional Arabic"/>
          <w:rtl/>
        </w:rPr>
        <w:footnoteReference w:id="144"/>
      </w:r>
      <w:r>
        <w:rPr>
          <w:rFonts w:ascii="Traditional Arabic" w:hAnsi="Traditional Arabic" w:cs="Traditional Arabic" w:eastAsia="Traditional Arabic"/>
          <w:rtl/>
        </w:rPr>
        <w:t xml:space="preserve"> وأما العذاب فقد قال ابن تيمية فيه إن الله "لا يعذب أحدا إلا بعد إرسال رسول إليهم، وإن كانوا فاعلين لما يستحقون به الذم والعقاب".</w:t>
      </w:r>
      <w:r>
        <w:rPr>
          <w:rStyle w:val="FootnoteReference"/>
          <w:rFonts w:ascii="Traditional Arabic" w:hAnsi="Traditional Arabic" w:cs="Traditional Arabic" w:eastAsia="Traditional Arabic"/>
          <w:rtl/>
        </w:rPr>
        <w:footnoteReference w:id="145"/>
      </w:r>
      <w:r>
        <w:rPr>
          <w:rFonts w:ascii="Traditional Arabic" w:hAnsi="Traditional Arabic" w:cs="Traditional Arabic" w:eastAsia="Traditional Arabic"/>
          <w:rtl/>
        </w:rPr>
        <w:t xml:space="preserve"> فما يختلف فيه الفريقان هو الوصف: هل الفعل قبيح في نفسه، وهذا لم يتعرض له تقي الدين السبكي في النصوص التي وقفت عليها.</w:t>
      </w:r>
    </w:p>
    <w:p>
      <w:pPr>
        <w:pStyle w:val="BodyText1"/>
      </w:pPr>
      <w:r>
        <w:rPr>
          <w:rFonts w:ascii="Traditional Arabic" w:hAnsi="Traditional Arabic" w:cs="Traditional Arabic" w:eastAsia="Traditional Arabic"/>
          <w:rtl/>
        </w:rPr>
        <w:t xml:space="preserve">ويؤيد ذلك أن الآيات التي استدل بها ليست مما يختص بالأشاعرة، فقد قال الزركشي في سياق القول الثالث الذي سماه المنصور: "وأما الآيات التي احتج بها القائلون بأنه شرعي إنما تدل على نفي الثواب والعقاب".</w:t>
      </w:r>
      <w:r>
        <w:rPr>
          <w:rStyle w:val="FootnoteReference"/>
          <w:rFonts w:ascii="Traditional Arabic" w:hAnsi="Traditional Arabic" w:cs="Traditional Arabic" w:eastAsia="Traditional Arabic"/>
          <w:rtl/>
        </w:rPr>
        <w:footnoteReference w:id="146"/>
      </w:r>
      <w:r>
        <w:rPr>
          <w:rFonts w:ascii="Traditional Arabic" w:hAnsi="Traditional Arabic" w:cs="Traditional Arabic" w:eastAsia="Traditional Arabic"/>
          <w:rtl/>
        </w:rPr>
        <w:t xml:space="preserve"> ويؤيده أيضا قاعدة التأسيس والتأكيد التي ذكرها الزركشي: "إذا تعارض التأكيد والتأسيس كان التأسيس أولى؛ لأنه أكثر فائدة"،</w:t>
      </w:r>
      <w:r>
        <w:rPr>
          <w:rStyle w:val="FootnoteReference"/>
          <w:rFonts w:ascii="Traditional Arabic" w:hAnsi="Traditional Arabic" w:cs="Traditional Arabic" w:eastAsia="Traditional Arabic"/>
          <w:rtl/>
        </w:rPr>
        <w:footnoteReference w:id="147"/>
      </w:r>
      <w:r>
        <w:rPr>
          <w:rFonts w:ascii="Traditional Arabic" w:hAnsi="Traditional Arabic" w:cs="Traditional Arabic" w:eastAsia="Traditional Arabic"/>
          <w:rtl/>
        </w:rPr>
        <w:t xml:space="preserve"> فإن القول بأن الشرع منشئ للأحكام أكثر فائدة من القول بأنه مؤكد لحكم العقل.</w:t>
      </w:r>
    </w:p>
    <w:p>
      <w:pPr>
        <w:pStyle w:val="BodyText1"/>
      </w:pPr>
      <w:r>
        <w:rPr>
          <w:rFonts w:ascii="Traditional Arabic" w:hAnsi="Traditional Arabic" w:cs="Traditional Arabic" w:eastAsia="Traditional Arabic"/>
          <w:rtl/>
        </w:rPr>
        <w:t xml:space="preserve">وأما الركن الثالث - وهو أن العقل مدرك لا حاكم - فيظهر لي أنه محل اتفاق بعد تحرير النزاع، وأن المخالفة فيه إنما نشأت من عبارات الأصوليين الناقلين عن المعتزلة، كما تقدم. وهذا لا يمنع أن ثمة خلافا حقيقيا فيمن يرى أن الاستحقاق ثابت بالعقل قبل الشرع، وهو الذي تدل الآيات على بطلانه.</w:t>
      </w:r>
    </w:p>
    <w:p>
      <w:pPr>
        <w:pStyle w:val="BodyText1"/>
      </w:pPr>
      <w:r>
        <w:rPr>
          <w:rFonts w:ascii="Traditional Arabic" w:hAnsi="Traditional Arabic" w:cs="Traditional Arabic" w:eastAsia="Traditional Arabic"/>
          <w:rtl/>
        </w:rPr>
        <w:t xml:space="preserve">وأما ما ألزم به ابن تيمية الأشاعرة من جواز تعذيب من لم يذنب، فلم أجد له في كلام تقي الدين السبكي الذي وقفت عليه جوابا، وقاعدته بصياغتها تنفي التعذيب قبل البعثة، ولا تتعرض لتجويزه عقلا.</w:t>
      </w:r>
    </w:p>
    <w:p>
      <w:pPr>
        <w:pStyle w:val="BodyText1"/>
      </w:pPr>
      <w:r>
        <w:rPr>
          <w:rFonts w:ascii="Traditional Arabic" w:hAnsi="Traditional Arabic" w:cs="Traditional Arabic" w:eastAsia="Traditional Arabic"/>
          <w:rtl/>
        </w:rPr>
        <w:t xml:space="preserve">#٥ ثمرة القاعدة في المسألة المستنبط منها</w:t>
      </w:r>
    </w:p>
    <w:p>
      <w:pPr>
        <w:pStyle w:val="BodyText1"/>
      </w:pPr>
      <w:r>
        <w:rPr>
          <w:rFonts w:ascii="Traditional Arabic" w:hAnsi="Traditional Arabic" w:cs="Traditional Arabic" w:eastAsia="Traditional Arabic"/>
          <w:rtl/>
        </w:rPr>
        <w:t xml:space="preserve">وثمرتها في المسألة التي سيقت من أجلها أن عموم الرسالة للثقلين لا يتوقف على القول بأن الجن لهم شرائع مستقلة؛ فقد قال: "الذي يظهر لنا أنهم لم يمتازوا بشريعة بل الواجب علينا وعليهم شيء واحد لعموم أدلة الشريعة".</w:t>
      </w:r>
      <w:r>
        <w:rPr>
          <w:rStyle w:val="FootnoteReference"/>
          <w:rFonts w:ascii="Traditional Arabic" w:hAnsi="Traditional Arabic" w:cs="Traditional Arabic" w:eastAsia="Traditional Arabic"/>
          <w:rtl/>
        </w:rPr>
        <w:footnoteReference w:id="148"/>
      </w:r>
      <w:r>
        <w:rPr>
          <w:rFonts w:ascii="Traditional Arabic" w:hAnsi="Traditional Arabic" w:cs="Traditional Arabic" w:eastAsia="Traditional Arabic"/>
          <w:rtl/>
        </w:rPr>
        <w:t xml:space="preserve"> ويظهر لي أن هذا مبني على أن التكليف لا يتعلق إلا بما جاء به الرسول، فإذا عمت الرسالة عمت الأحكام.</w:t>
      </w:r>
    </w:p>
    <w:p>
      <w:pPr>
        <w:pStyle w:val="BodyText1"/>
      </w:pPr>
      <w:r>
        <w:rPr>
          <w:rFonts w:ascii="Traditional Arabic" w:hAnsi="Traditional Arabic" w:cs="Traditional Arabic" w:eastAsia="Traditional Arabic"/>
          <w:rtl/>
        </w:rPr>
        <w:t xml:space="preserve">#٥ ثمراتها الأخرى</w:t>
      </w:r>
    </w:p>
    <w:p>
      <w:pPr>
        <w:pStyle w:val="BodyText1"/>
      </w:pPr>
      <w:r>
        <w:rPr>
          <w:rFonts w:ascii="Traditional Arabic" w:hAnsi="Traditional Arabic" w:cs="Traditional Arabic" w:eastAsia="Traditional Arabic"/>
          <w:rtl/>
        </w:rPr>
        <w:t xml:space="preserve">وثمرتها في غير ذلك خمس: الأولى في حكم الأشياء قبل الشرع، وقد ظهر في تكملة المجموع. والثانية في شكر المنعم: فهو واجب شرعا لا عقلا، كما في الإبهاج. والثالثة في قصص الإغراق والعذاب: فلا تعذيب إلا بعد دعوة الرسول، كما في الطوفان وفرعون. والرابعة في التخريج الفقهي: فلا يقبل تخريج يستلزم الجمع بين النقيضين بدعوى أنه ممتنع عقلا لا شرعا، كما في مسألة «أعتق عبدك عني». والخامسة في العلاقة بين العقل والنقل: فلا تعارض بين ما استحال عقلا وما ثبت شرعا؛ لأن "كل ما استحال في العقل استحال في الشرع".</w:t>
      </w:r>
      <w:r>
        <w:rPr>
          <w:rStyle w:val="FootnoteReference"/>
          <w:rFonts w:ascii="Traditional Arabic" w:hAnsi="Traditional Arabic" w:cs="Traditional Arabic" w:eastAsia="Traditional Arabic"/>
          <w:rtl/>
        </w:rPr>
        <w:footnoteReference w:id="149"/>
      </w:r>
      <w:r>
        <w:rPr>
          <w:rFonts w:ascii="Traditional Arabic" w:hAnsi="Traditional Arabic" w:cs="Traditional Arabic" w:eastAsia="Traditional Arabic"/>
          <w:rtl/>
        </w:rPr>
        <w:t xml:space="preserve"> ولا ينافي ذلك أن يخبر النبي الصادق بما لا يدركه العقل، فقد قال الزركشي: "ولهذا أجمع أهل الملة أن النبي الصادق إذا أخبر خبرا لا يدركه العقل وجب الإيمان به وتلقيه بالقبول"،</w:t>
      </w:r>
      <w:r>
        <w:rPr>
          <w:rStyle w:val="FootnoteReference"/>
          <w:rFonts w:ascii="Traditional Arabic" w:hAnsi="Traditional Arabic" w:cs="Traditional Arabic" w:eastAsia="Traditional Arabic"/>
          <w:rtl/>
        </w:rPr>
        <w:footnoteReference w:id="150"/>
      </w:r>
      <w:r>
        <w:rPr>
          <w:rFonts w:ascii="Traditional Arabic" w:hAnsi="Traditional Arabic" w:cs="Traditional Arabic" w:eastAsia="Traditional Arabic"/>
          <w:rtl/>
        </w:rPr>
        <w:t xml:space="preserve"> فإن المستحيل عقلا غير ما يقصر العقل عن إدراكه، فيما يظهر لي.</w:t>
      </w:r>
    </w:p>
    <w:p>
      <w:pPr>
        <w:pStyle w:val="BodyText1"/>
      </w:pPr>
      <w:r>
        <w:rPr>
          <w:rFonts w:ascii="Traditional Arabic" w:hAnsi="Traditional Arabic" w:cs="Traditional Arabic" w:eastAsia="Traditional Arabic"/>
          <w:rtl/>
        </w:rPr>
        <w:t xml:space="preserve">فتحصل أن تقي الدين السبكي قرر القاعدة في ثلاثة فنون - الفتاوى والتكملة والإبهاج - وأن أوسع تقرير لها في جواب أسئلة طرابلس، وأنه حرر فيه الأصل الأشعري تحريرا يجعل الجواب مستقلا عن حسم الخلاف، وأن مبحث الحاكم في الإبهاج - وهو أوسع ما في الكتب المنسوبة إليه في المسألة - ليس له، وإنما هو لولده التاج. والله أعلم.</w:t>
      </w:r>
    </w:p>
    <w:sectPr>
      <w:footerReference w:type="default" r:id="rIdFooter"/>
      <w:footnotePr>
        <w:numFmt w:val="hindiNumbers"/>
      </w:footnotePr>
      <w:pgSz w:w="11906" w:h="16838"/>
      <w:pgMar w:top="1417" w:right="1417" w:bottom="1417" w:left="1417" w:header="709" w:footer="709" w:gutter="0"/>
      <w:pgNumType w:fmt="hindiNumbers"/>
      <w:bidi/>
    </w:sectPr>
  </w:body>
</w:document>
</file>

<file path=word/footer1.xml><?xml version="1.0" encoding="utf-8"?>
<w:ftr xmlns:w="http://schemas.openxmlformats.org/wordprocessingml/2006/main" xmlns:r="http://schemas.openxmlformats.org/officeDocument/2006/relationships">
  <w:p>
    <w:pPr>
      <w:pStyle w:val="Footer"/>
      <w:bidi/>
      <w:jc w:val="center"/>
    </w:pPr>
    <w:r>
      <w:rPr>
        <w:rFonts w:ascii="Traditional Arabic" w:hAnsi="Traditional Arabic" w:cs="Traditional Arabic" w:eastAsia="Traditional Arabic"/>
        <w:rtl/>
      </w:rPr>
      <w:fldChar w:fldCharType="begin"/>
    </w:r>
    <w:r>
      <w:rPr>
        <w:rFonts w:ascii="Traditional Arabic" w:hAnsi="Traditional Arabic" w:cs="Traditional Arabic" w:eastAsia="Traditional Arabic"/>
        <w:rtl/>
      </w:rPr>
      <w:instrText xml:space="preserve"> PAGE </w:instrText>
    </w:r>
    <w:r>
      <w:rPr>
        <w:rFonts w:ascii="Traditional Arabic" w:hAnsi="Traditional Arabic" w:cs="Traditional Arabic" w:eastAsia="Traditional Arabic"/>
        <w:rtl/>
      </w:rPr>
      <w:fldChar w:fldCharType="separate"/>
    </w:r>
    <w:r>
      <w:rPr>
        <w:rFonts w:ascii="Traditional Arabic" w:hAnsi="Traditional Arabic" w:cs="Traditional Arabic" w:eastAsia="Traditional Arabic"/>
        <w:rtl/>
      </w:rPr>
      <w:t>١</w:t>
    </w:r>
    <w:r>
      <w:rPr>
        <w:rFonts w:ascii="Traditional Arabic" w:hAnsi="Traditional Arabic" w:cs="Traditional Arabic" w:eastAsia="Traditional Arabic"/>
        <w:rtl/>
      </w:rPr>
      <w:fldChar w:fldCharType="end"/>
    </w:r>
  </w:p>
</w:ftr>
</file>

<file path=word/footnotes.xml><?xml version="1.0" encoding="utf-8"?>
<w:footnotes xmlns:w="http://schemas.openxmlformats.org/wordprocessingml/2006/main" xmlns:r="http://schemas.openxmlformats.org/officeDocument/2006/relationships">
  <w:footnote w:type="separator" w:id="0">
    <w:p>
      <w:r>
        <w:separator/>
      </w:r>
    </w:p>
  </w:footnote>
  <w:footnote w:type="continuationSeparator" w:id="1">
    <w:p>
      <w:r>
        <w:continuationSeparator/>
      </w:r>
    </w:p>
  </w:footnote>
  <w:footnote w:id="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هو علي بن عبد الكافي بن علي بن تمام السبكي، توفي ليلة الاثنين المسفرة عن ثالث جمادى الآخرة سنة ست وخمسين وسبعمائة. انظر: طبقات الشافعية الكبرى للسبكي (١٠/ ١٣٩، ٣١٦).</w:t>
      </w:r>
    </w:p>
  </w:footnote>
  <w:footnote w:id="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الدر النظيم في تفسير القرآن العظيم لتقي الدين السبكي مذكور في ثبت مصنفاته وفيه أنه لم يكمل، وفي كشف الظنون أنه لم يكمله. انظر: طبقات الشافعية الكبرى (١٠/ ٣٠٧)، وكشف الظنون (١/ ٧٣٦). ولم أقف على نص الدر النظيم في مكتبة «تراث» التي كان البحث فيها، فاستعيض بنصوصه الأخرى المنقولة بخطه في الفتاوى وفي التكملة. وأما رقم هذا المطلب من الفصل فلم أثبته؛ لأن ملف الخطة لم يكن بين يدي. ولم أترجم في هذا المطلب إلا للسبكيين، واكتفيت في غيرهم بتوثيق نصوصهم. يعرض على الدكتور.</w:t>
      </w:r>
    </w:p>
  </w:footnote>
  <w:footnote w:id="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مقاييس اللغة لابن فارس (٢/ ٥٧).</w:t>
      </w:r>
    </w:p>
  </w:footnote>
  <w:footnote w:id="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لسان العرب لابن منظور (١٣/ ١١٤).</w:t>
      </w:r>
    </w:p>
  </w:footnote>
  <w:footnote w:id="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المحكم والمحيط الأعظم لابن سيده (٣/ ٢٢).</w:t>
      </w:r>
    </w:p>
  </w:footnote>
  <w:footnote w:id="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المخصص لابن سيده (١/ ٢٣٣).</w:t>
      </w:r>
    </w:p>
  </w:footnote>
  <w:footnote w:id="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مختار الصحاح للرازي (ص: ٢٤٦).</w:t>
      </w:r>
    </w:p>
  </w:footnote>
  <w:footnote w:id="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شرح تنقيح الفصول للقرافي (ص: ٨٨).</w:t>
      </w:r>
    </w:p>
  </w:footnote>
  <w:footnote w:id="1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هو عبد الوهاب بن علي بن عبد الكافي السبكي، توفي شهيدا بالطاعون في ذي الحجة سنة إحدى وسبعين وسبعمائة. انظر: طبقات الشافعية لابن قاضي شهبة (٣/ ١٠٤ - ١٠٦).</w:t>
      </w:r>
    </w:p>
  </w:footnote>
  <w:footnote w:id="1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٣٦٦). وهذا من كلام التاج لا من كلام أبيه؛ لوقوعه بعد الحد الفاصل بين الكلامين في الكتاب. انظر: الإبهاج (٢/ ٣٠١ - ٣٠٣).</w:t>
      </w:r>
    </w:p>
  </w:footnote>
  <w:footnote w:id="1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تيسير التحرير لأمير باد شاه (٢/ ١٥٢).</w:t>
      </w:r>
    </w:p>
  </w:footnote>
  <w:footnote w:id="1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المستصفى للغزالي (ص: ٤٥ - ٤٦).</w:t>
      </w:r>
    </w:p>
  </w:footnote>
  <w:footnote w:id="1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الإحكام للآمدي (١/ ٧٩).</w:t>
      </w:r>
    </w:p>
  </w:footnote>
  <w:footnote w:id="1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شرح تنقيح الفصول (ص: ٨٨).</w:t>
      </w:r>
    </w:p>
  </w:footnote>
  <w:footnote w:id="1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المعتمد في أصول الفقه لأبي الحسين البصري (١/ ٤).</w:t>
      </w:r>
    </w:p>
  </w:footnote>
  <w:footnote w:id="1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المستصفى (ص: ٤٥).</w:t>
      </w:r>
    </w:p>
  </w:footnote>
  <w:footnote w:id="1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في أصول الفقه للزركشي (١/ ١٩٠).</w:t>
      </w:r>
    </w:p>
  </w:footnote>
  <w:footnote w:id="1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(١/ ١٩٣).</w:t>
      </w:r>
    </w:p>
  </w:footnote>
  <w:footnote w:id="2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الإشارات الإلهية إلى المباحث الأصولية للطوفي (ص: ١٩٢).</w:t>
      </w:r>
    </w:p>
  </w:footnote>
  <w:footnote w:id="2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مفتاح دار السعادة لابن القيم (٢/ ١١٣).</w:t>
      </w:r>
    </w:p>
  </w:footnote>
  <w:footnote w:id="2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(١/ ١٩١).</w:t>
      </w:r>
    </w:p>
  </w:footnote>
  <w:footnote w:id="2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٣٧٣).</w:t>
      </w:r>
    </w:p>
  </w:footnote>
  <w:footnote w:id="2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كشف الأسرار عن أصول فخر الإسلام البزدوي لعلاء الدين البخاري (٤/ ٢٣٢).</w:t>
      </w:r>
    </w:p>
  </w:footnote>
  <w:footnote w:id="2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طبقات الشافعية الكبرى للسبكي (١٠/ ٣٠٧). وسمى الكتاب فيه: «الإيهاج»، كذا في المطبوع.</w:t>
      </w:r>
    </w:p>
  </w:footnote>
  <w:footnote w:id="2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(١/ ٦).</w:t>
      </w:r>
    </w:p>
  </w:footnote>
  <w:footnote w:id="2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٥٩٤).</w:t>
      </w:r>
    </w:p>
  </w:footnote>
  <w:footnote w:id="2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٦٢٥). وفي المطبوع: "فرغت منه عند أذان الصبح يوم الأربعاء سابع عشر شعبان سنة ٢٣٨"، وهو مخالف لما في أول الجواب.</w:t>
      </w:r>
    </w:p>
  </w:footnote>
  <w:footnote w:id="2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٦١٩ - ٦٢٠).</w:t>
      </w:r>
    </w:p>
  </w:footnote>
  <w:footnote w:id="3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٦٢٠ - ٦٢١).</w:t>
      </w:r>
    </w:p>
  </w:footnote>
  <w:footnote w:id="3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٦٢٠).</w:t>
      </w:r>
    </w:p>
  </w:footnote>
  <w:footnote w:id="3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٦٢٥).</w:t>
      </w:r>
    </w:p>
  </w:footnote>
  <w:footnote w:id="3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(١/ ٢١).</w:t>
      </w:r>
    </w:p>
  </w:footnote>
  <w:footnote w:id="3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(١/ ٦).</w:t>
      </w:r>
    </w:p>
  </w:footnote>
  <w:footnote w:id="3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تكملة المجموع للسبكي، قطعة جديدة (٣/ ٣٤٥).</w:t>
      </w:r>
    </w:p>
  </w:footnote>
  <w:footnote w:id="3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٣٠١، ٣٠٣).</w:t>
      </w:r>
    </w:p>
  </w:footnote>
  <w:footnote w:id="3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٣٠٢).</w:t>
      </w:r>
    </w:p>
  </w:footnote>
  <w:footnote w:id="3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٦٢٥).</w:t>
      </w:r>
    </w:p>
  </w:footnote>
  <w:footnote w:id="3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الإحكام للآمدي (١/ ٧٩).</w:t>
      </w:r>
    </w:p>
  </w:footnote>
  <w:footnote w:id="4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تيسير التحرير (٢/ ١٥٠).</w:t>
      </w:r>
    </w:p>
  </w:footnote>
  <w:footnote w:id="4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(١/ ١٩٠).</w:t>
      </w:r>
    </w:p>
  </w:footnote>
  <w:footnote w:id="4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٣٦٥).</w:t>
      </w:r>
    </w:p>
  </w:footnote>
  <w:footnote w:id="4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شرح تنقيح الفصول (ص: ٨٨).</w:t>
      </w:r>
    </w:p>
  </w:footnote>
  <w:footnote w:id="4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٣٦٦).</w:t>
      </w:r>
    </w:p>
  </w:footnote>
  <w:footnote w:id="4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تيسير التحرير (٢/ ١٥٢).</w:t>
      </w:r>
    </w:p>
  </w:footnote>
  <w:footnote w:id="4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٣٧٣).</w:t>
      </w:r>
    </w:p>
  </w:footnote>
  <w:footnote w:id="4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كشف الأسرار (٤/ ٢٣٢).</w:t>
      </w:r>
    </w:p>
  </w:footnote>
  <w:footnote w:id="4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٣٠٢).</w:t>
      </w:r>
    </w:p>
  </w:footnote>
  <w:footnote w:id="4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تيسير التحرير (٢/ ١٥٢).</w:t>
      </w:r>
    </w:p>
  </w:footnote>
  <w:footnote w:id="5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(١/ ١٨٨).</w:t>
      </w:r>
    </w:p>
  </w:footnote>
  <w:footnote w:id="5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(١/ ١٩٠).</w:t>
      </w:r>
    </w:p>
  </w:footnote>
  <w:footnote w:id="5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(١/ ١٩١).</w:t>
      </w:r>
    </w:p>
  </w:footnote>
  <w:footnote w:id="5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درء تعارض العقل والنقل (٨/ ٤٩٢ - ٤٩٣).</w:t>
      </w:r>
    </w:p>
  </w:footnote>
  <w:footnote w:id="5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البرهان للجويني (١/ ٨).</w:t>
      </w:r>
    </w:p>
  </w:footnote>
  <w:footnote w:id="5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المستصفى (ص: ٤٥).</w:t>
      </w:r>
    </w:p>
  </w:footnote>
  <w:footnote w:id="5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الإحكام للآمدي (١/ ٧٩).</w:t>
      </w:r>
    </w:p>
  </w:footnote>
  <w:footnote w:id="5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شرح تنقيح الفصول (ص: ٨٨).</w:t>
      </w:r>
    </w:p>
  </w:footnote>
  <w:footnote w:id="5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درء تعارض العقل والنقل (٨/ ٤٩٢).</w:t>
      </w:r>
    </w:p>
  </w:footnote>
  <w:footnote w:id="5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التحبير شرح التحرير للمرداوي (٢/ ٧٣٤).</w:t>
      </w:r>
    </w:p>
  </w:footnote>
  <w:footnote w:id="6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الفصل في الملل والأهواء والنحل لابن حزم (٣/ ٦٠).</w:t>
      </w:r>
    </w:p>
  </w:footnote>
  <w:footnote w:id="6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شرح تنقيح الفصول (ص: ٨٨).</w:t>
      </w:r>
    </w:p>
  </w:footnote>
  <w:footnote w:id="6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تيسير التحرير (٢/ ١٥٠).</w:t>
      </w:r>
    </w:p>
  </w:footnote>
  <w:footnote w:id="6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البرهان (١/ ٩).</w:t>
      </w:r>
    </w:p>
  </w:footnote>
  <w:footnote w:id="6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مفتاح دار السعادة (٢/ ١٠٥).</w:t>
      </w:r>
    </w:p>
  </w:footnote>
  <w:footnote w:id="6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(١/ ١٩١).</w:t>
      </w:r>
    </w:p>
  </w:footnote>
  <w:footnote w:id="6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درء تعارض العقل والنقل (٨/ ٤٩٣).</w:t>
      </w:r>
    </w:p>
  </w:footnote>
  <w:footnote w:id="6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مجموع الفتاوى لابن تيمية (١١/ ٦٧٧).</w:t>
      </w:r>
    </w:p>
  </w:footnote>
  <w:footnote w:id="6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مفتاح دار السعادة (٢/ ١١٣).</w:t>
      </w:r>
    </w:p>
  </w:footnote>
  <w:footnote w:id="6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طبقات الشافعية الكبرى (٣/ ٣٨٣، ٣٨٧).</w:t>
      </w:r>
    </w:p>
  </w:footnote>
  <w:footnote w:id="7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طبقات الشافعية الكبرى (٣/ ٣٨٧).</w:t>
      </w:r>
    </w:p>
  </w:footnote>
  <w:footnote w:id="7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(١/ ١٨٦).</w:t>
      </w:r>
    </w:p>
  </w:footnote>
  <w:footnote w:id="7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(١/ ١٨٥).</w:t>
      </w:r>
    </w:p>
  </w:footnote>
  <w:footnote w:id="7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تيسير التحرير (٢/ ١٥٢).</w:t>
      </w:r>
    </w:p>
  </w:footnote>
  <w:footnote w:id="7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تيسير التحرير (٢/ ١٥٢).</w:t>
      </w:r>
    </w:p>
  </w:footnote>
  <w:footnote w:id="7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شرح تنقيح الفصول (ص: ٨٨).</w:t>
      </w:r>
    </w:p>
  </w:footnote>
  <w:footnote w:id="7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٣٧٤).</w:t>
      </w:r>
    </w:p>
  </w:footnote>
  <w:footnote w:id="7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تفسير ابن كثير (٥/ ٥٢).</w:t>
      </w:r>
    </w:p>
  </w:footnote>
  <w:footnote w:id="7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(١/ ١٩٢).</w:t>
      </w:r>
    </w:p>
  </w:footnote>
  <w:footnote w:id="7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المستصفى (ص: ٤٦).</w:t>
      </w:r>
    </w:p>
  </w:footnote>
  <w:footnote w:id="8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المستصفى (ص: ٤٦).</w:t>
      </w:r>
    </w:p>
  </w:footnote>
  <w:footnote w:id="8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البرهان (١/ ٩ - ١٠).</w:t>
      </w:r>
    </w:p>
  </w:footnote>
  <w:footnote w:id="8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البرهان (١/ ١٠).</w:t>
      </w:r>
    </w:p>
  </w:footnote>
  <w:footnote w:id="8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شرح تنقيح الفصول (ص: ٨٨).</w:t>
      </w:r>
    </w:p>
  </w:footnote>
  <w:footnote w:id="8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تيسير التحرير (٢/ ١٥٣).</w:t>
      </w:r>
    </w:p>
  </w:footnote>
  <w:footnote w:id="8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المستصفى (ص: ٤٧).</w:t>
      </w:r>
    </w:p>
  </w:footnote>
  <w:footnote w:id="8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أحكام القرآن للكيا الهراسي (٤/ ٢٥١).</w:t>
      </w:r>
    </w:p>
  </w:footnote>
  <w:footnote w:id="8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أحكام القرآن للكيا الهراسي (٤/ ٢٥١).</w:t>
      </w:r>
    </w:p>
  </w:footnote>
  <w:footnote w:id="8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الكشاف للزمخشري (٢/ ٦٥٣).</w:t>
      </w:r>
    </w:p>
  </w:footnote>
  <w:footnote w:id="8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الكشاف للزمخشري (١/ ٥٩١).</w:t>
      </w:r>
    </w:p>
  </w:footnote>
  <w:footnote w:id="9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مفتاح دار السعادة (٢/ ١٠٥).</w:t>
      </w:r>
    </w:p>
  </w:footnote>
  <w:footnote w:id="9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٦٢١).</w:t>
      </w:r>
    </w:p>
  </w:footnote>
  <w:footnote w:id="9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الانتصاف المطبوع بهامش الكشاف (٢/ ٦٥٣).</w:t>
      </w:r>
    </w:p>
  </w:footnote>
  <w:footnote w:id="9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٣٦٥).</w:t>
      </w:r>
    </w:p>
  </w:footnote>
  <w:footnote w:id="9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٦٢٥).</w:t>
      </w:r>
    </w:p>
  </w:footnote>
  <w:footnote w:id="9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(١/ ١٨٥ - ١٨٦).</w:t>
      </w:r>
    </w:p>
  </w:footnote>
  <w:footnote w:id="9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تيسير التحرير (٢/ ١٥٢).</w:t>
      </w:r>
    </w:p>
  </w:footnote>
  <w:footnote w:id="9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مجموع الفتاوى (١١/ ٦٧٧).</w:t>
      </w:r>
    </w:p>
  </w:footnote>
  <w:footnote w:id="9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لم أقف على أصل الرواية عن أبي حنيفة في كتب الحنفية المتقدمة، فتوقفت عن الترجيح بين النقلين. يعرض على الدكتور.</w:t>
      </w:r>
    </w:p>
  </w:footnote>
  <w:footnote w:id="9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درء تعارض العقل والنقل (٨/ ٤٩٢)؛ مجموع الفتاوى (١١/ ٦٧٧).</w:t>
      </w:r>
    </w:p>
  </w:footnote>
  <w:footnote w:id="10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مجموع الفتاوى (١٩/ ٢١٥).</w:t>
      </w:r>
    </w:p>
  </w:footnote>
  <w:footnote w:id="10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درء تعارض العقل والنقل (٨/ ٤٩٣).</w:t>
      </w:r>
    </w:p>
  </w:footnote>
  <w:footnote w:id="10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مجموع الفتاوى (٨/ ٤٣٥).</w:t>
      </w:r>
    </w:p>
  </w:footnote>
  <w:footnote w:id="10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٣٧٣).</w:t>
      </w:r>
    </w:p>
  </w:footnote>
  <w:footnote w:id="10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٣٧٨ - ٣٧٩).</w:t>
      </w:r>
    </w:p>
  </w:footnote>
  <w:footnote w:id="10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٣٨٠).</w:t>
      </w:r>
    </w:p>
  </w:footnote>
  <w:footnote w:id="10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تكملة المجموع للسبكي، قطعة جديدة (٣/ ٣٤٥).</w:t>
      </w:r>
    </w:p>
  </w:footnote>
  <w:footnote w:id="10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٣٦٨).</w:t>
      </w:r>
    </w:p>
  </w:footnote>
  <w:footnote w:id="10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٣٦٩).</w:t>
      </w:r>
    </w:p>
  </w:footnote>
  <w:footnote w:id="10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تيسير التحرير (٢/ ١٥٢).</w:t>
      </w:r>
    </w:p>
  </w:footnote>
  <w:footnote w:id="11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طبقات الشافعية الكبرى (٣/ ٣٨٦).</w:t>
      </w:r>
    </w:p>
  </w:footnote>
  <w:footnote w:id="11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المستصفى (ص: ٤٥).</w:t>
      </w:r>
    </w:p>
  </w:footnote>
  <w:footnote w:id="11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الإحكام للآمدي (١/ ٧٩).</w:t>
      </w:r>
    </w:p>
  </w:footnote>
  <w:footnote w:id="11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شرح تنقيح الفصول (ص: ٨٨).</w:t>
      </w:r>
    </w:p>
  </w:footnote>
  <w:footnote w:id="11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وفاة الآمدي سنة ٦٣١ والقرافي سنة ٦٨٤ والغزالي سنة ٥٠٥، كما في بيانات كتبهم في مكتبة تراث. وكلهم متقدم على تقي الدين السبكي المتوفى سنة ٧٥٦، كما في طبقات الشافعية الكبرى (١٠/ ٣١٦).</w:t>
      </w:r>
    </w:p>
  </w:footnote>
  <w:footnote w:id="11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٦٢٠ - ٦٢١).</w:t>
      </w:r>
    </w:p>
  </w:footnote>
  <w:footnote w:id="11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٦٢٠ - ٦٢١).</w:t>
      </w:r>
    </w:p>
  </w:footnote>
  <w:footnote w:id="11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٦٢٠).</w:t>
      </w:r>
    </w:p>
  </w:footnote>
  <w:footnote w:id="11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٦٢٠).</w:t>
      </w:r>
    </w:p>
  </w:footnote>
  <w:footnote w:id="11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أحكام القرآن للكيا الهراسي (٤/ ٢٥٠ - ٢٥١). وهو الكيا الهراسي الشافعي المتوفى سنة ٥٠٤، كما في بيانات الكتاب في مكتبة تراث.</w:t>
      </w:r>
    </w:p>
  </w:footnote>
  <w:footnote w:id="12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الكشاف (٢/ ٦٥٣). والزمخشري المتوفى سنة ٥٣٨، كما في بيانات الكتاب في مكتبة تراث.</w:t>
      </w:r>
    </w:p>
  </w:footnote>
  <w:footnote w:id="12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الانتصاف المطبوع بهامش الكشاف (٢/ ٦٥٣). والانتصاف لأحمد بن المنير الإسكندري المتوفى سنة ٦٨٣، وعامة حواشيه تبدأ بـ«قال محمود» يعني الزمخشري ثم يتعقبها بـ«قال أحمد» يعني نفسه، كما في بيانات الكتاب في مكتبة تراث.</w:t>
      </w:r>
    </w:p>
  </w:footnote>
  <w:footnote w:id="12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٦٢٠).</w:t>
      </w:r>
    </w:p>
  </w:footnote>
  <w:footnote w:id="12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٦٢٠).</w:t>
      </w:r>
    </w:p>
  </w:footnote>
  <w:footnote w:id="12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٦٢٠). ولم أقف على بيان لمراده بالعلم الاستدلالي في هذا الموضع، فتوقفت. يعرض على الدكتور.</w:t>
      </w:r>
    </w:p>
  </w:footnote>
  <w:footnote w:id="12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تفسير ابن كثير (٥/ ٥٢).</w:t>
      </w:r>
    </w:p>
  </w:footnote>
  <w:footnote w:id="12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٦٢٥).</w:t>
      </w:r>
    </w:p>
  </w:footnote>
  <w:footnote w:id="12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٦٢٥).</w:t>
      </w:r>
    </w:p>
  </w:footnote>
  <w:footnote w:id="12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٣٧٤). وهذا من كلام التاج لا من كلام أبيه.</w:t>
      </w:r>
    </w:p>
  </w:footnote>
  <w:footnote w:id="12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(١/ ٢١).</w:t>
      </w:r>
    </w:p>
  </w:footnote>
  <w:footnote w:id="13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(١/ ٢١).</w:t>
      </w:r>
    </w:p>
  </w:footnote>
  <w:footnote w:id="13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(١/ ١٩٣).</w:t>
      </w:r>
    </w:p>
  </w:footnote>
  <w:footnote w:id="13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٣٦٨). وهذا من كلام التاج لا من كلام أبيه.</w:t>
      </w:r>
    </w:p>
  </w:footnote>
  <w:footnote w:id="13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تكملة المجموع للسبكي، قطعة جديدة (٣/ ٣٤٥ - ٣٤٦).</w:t>
      </w:r>
    </w:p>
  </w:footnote>
  <w:footnote w:id="13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تكملة المجموع للسبكي، قطعة جديدة (٣/ ٣٤٦).</w:t>
      </w:r>
    </w:p>
  </w:footnote>
  <w:footnote w:id="13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الكشاف (٢/ ٦٥٣).</w:t>
      </w:r>
    </w:p>
  </w:footnote>
  <w:footnote w:id="13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الانتصاف المطبوع بهامش الكشاف (١/ ٥٩١).</w:t>
      </w:r>
    </w:p>
  </w:footnote>
  <w:footnote w:id="13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الانتصاف المطبوع بهامش الكشاف (٢/ ٦٥٣).</w:t>
      </w:r>
    </w:p>
  </w:footnote>
  <w:footnote w:id="13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تكملة المجموع للسبكي، قطعة جديدة (٣/ ٣٤٥).</w:t>
      </w:r>
    </w:p>
  </w:footnote>
  <w:footnote w:id="13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٣٠٢).</w:t>
      </w:r>
    </w:p>
  </w:footnote>
  <w:footnote w:id="14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٣٦٥).</w:t>
      </w:r>
    </w:p>
  </w:footnote>
  <w:footnote w:id="14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قرأت الإبهاج (٢/ ٣٦٥ - ٣٨٠)، فلم أجد فيها قولا ينسب إلى والده بلفظ "قال والدي" أو "الشيخ الإمام" في مسألة الحسن والقبح.</w:t>
      </w:r>
    </w:p>
  </w:footnote>
  <w:footnote w:id="14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طبقات الشافعية الكبرى (٣/ ٣٨٦).</w:t>
      </w:r>
    </w:p>
  </w:footnote>
  <w:footnote w:id="14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طبقات الشافعية الكبرى (٣/ ٣٨٦).</w:t>
      </w:r>
    </w:p>
  </w:footnote>
  <w:footnote w:id="14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مفتاح دار السعادة (٢/ ١١٣).</w:t>
      </w:r>
    </w:p>
  </w:footnote>
  <w:footnote w:id="14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درء تعارض العقل والنقل (٨/ ٤٩٢).</w:t>
      </w:r>
    </w:p>
  </w:footnote>
  <w:footnote w:id="14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(١/ ١٩٢).</w:t>
      </w:r>
    </w:p>
  </w:footnote>
  <w:footnote w:id="14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(١/ ١٩٣).</w:t>
      </w:r>
    </w:p>
  </w:footnote>
  <w:footnote w:id="14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٦٢٣).</w:t>
      </w:r>
    </w:p>
  </w:footnote>
  <w:footnote w:id="14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(١/ ٢١).</w:t>
      </w:r>
    </w:p>
  </w:footnote>
  <w:footnote w:id="15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(١/ ١٩٣).</w:t>
      </w:r>
    </w:p>
  </w:footnote>
</w:footnotes>
</file>

<file path=word/settings.xml><?xml version="1.0" encoding="utf-8"?>
<w:settings xmlns:w="http://schemas.openxmlformats.org/wordprocessingml/2006/main" xmlns:r="http://schemas.openxmlformats.org/officeDocument/2006/relationships">
  <w:zoom w:percent="100"/>
  <w:defaultTabStop w:val="720"/>
  <w:characterSpacingControl w:val="doNotCompress"/>
  <w:footnotePr>
    <w:footnote w:id="0"/>
    <w:footnote w:id="1"/>
  </w:footnotePr>
  <w:themeFontLang w:val="en-US" w:bidi="ar-SA"/>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raditional Arabic" w:hAnsi="Traditional Arabic" w:cs="Traditional Arabic" w:eastAsia="Traditional Arabic"/>
        <w:sz w:val="36"/>
        <w:szCs w:val="36"/>
        <w:lang w:val="ar-SA" w:bidi="ar-SA"/>
      </w:rPr>
    </w:rPrDefault>
    <w:pPrDefault>
      <w:pPr>
        <w:bidi/>
        <w:spacing w:after="160" w:line="240" w:lineRule="auto"/>
        <w:jc w:val="both"/>
      </w:pPr>
    </w:pPrDefault>
  </w:docDefaults>
  <w:style w:type="paragraph" w:default="1" w:styleId="Normal">
    <w:name w:val="Normal"/>
    <w:qFormat/>
  </w:style>
  <w:style w:type="paragraph" w:styleId="BodyText1">
    <w:name w:val="Body Text 1"/>
    <w:basedOn w:val="Normal"/>
    <w:qFormat/>
    <w:pPr>
      <w:bidi/>
      <w:spacing w:after="160" w:line="240" w:lineRule="auto"/>
      <w:ind w:firstLine="283"/>
      <w:jc w:val="both"/>
    </w:pPr>
    <w:rPr>
      <w:rFonts w:ascii="Traditional Arabic" w:hAnsi="Traditional Arabic" w:cs="Traditional Arabic" w:eastAsia="Traditional Arabic"/>
      <w:sz w:val="36"/>
      <w:szCs w:val="36"/>
      <w:rtl/>
    </w:rPr>
  </w:style>
  <w:style w:type="paragraph" w:styleId="Heading1">
    <w:name w:val="heading 1"/>
    <w:basedOn w:val="Normal"/>
    <w:next w:val="BodyText1"/>
    <w:qFormat/>
    <w:pPr>
      <w:keepNext/>
      <w:bidi/>
      <w:spacing w:before="240" w:after="160" w:line="240" w:lineRule="auto"/>
      <w:jc w:val="both"/>
      <w:outlineLvl w:val="0"/>
    </w:pPr>
    <w:rPr>
      <w:rFonts w:ascii="Traditional Arabic" w:hAnsi="Traditional Arabic" w:cs="Traditional Arabic" w:eastAsia="Traditional Arabic"/>
      <w:b/>
      <w:bCs/>
      <w:sz w:val="44"/>
      <w:szCs w:val="44"/>
      <w:rtl/>
    </w:rPr>
  </w:style>
  <w:style w:type="paragraph" w:styleId="Heading2">
    <w:name w:val="heading 2"/>
    <w:basedOn w:val="Normal"/>
    <w:next w:val="BodyText1"/>
    <w:qFormat/>
    <w:pPr>
      <w:keepNext/>
      <w:bidi/>
      <w:spacing w:before="240" w:after="160" w:line="240" w:lineRule="auto"/>
      <w:jc w:val="both"/>
      <w:outlineLvl w:val="1"/>
    </w:pPr>
    <w:rPr>
      <w:rFonts w:ascii="Traditional Arabic" w:hAnsi="Traditional Arabic" w:cs="Traditional Arabic" w:eastAsia="Traditional Arabic"/>
      <w:b/>
      <w:bCs/>
      <w:sz w:val="40"/>
      <w:szCs w:val="40"/>
      <w:rtl/>
    </w:rPr>
  </w:style>
  <w:style w:type="paragraph" w:styleId="Heading3">
    <w:name w:val="heading 3"/>
    <w:basedOn w:val="Normal"/>
    <w:next w:val="BodyText1"/>
    <w:qFormat/>
    <w:pPr>
      <w:keepNext/>
      <w:bidi/>
      <w:spacing w:before="240" w:after="160" w:line="240" w:lineRule="auto"/>
      <w:jc w:val="both"/>
      <w:outlineLvl w:val="2"/>
    </w:pPr>
    <w:rPr>
      <w:rFonts w:ascii="Traditional Arabic" w:hAnsi="Traditional Arabic" w:cs="Traditional Arabic" w:eastAsia="Traditional Arabic"/>
      <w:b/>
      <w:bCs/>
      <w:sz w:val="44"/>
      <w:szCs w:val="44"/>
      <w:rtl/>
    </w:rPr>
  </w:style>
  <w:style w:type="paragraph" w:styleId="Heading4">
    <w:name w:val="heading 4"/>
    <w:basedOn w:val="Normal"/>
    <w:next w:val="BodyText1"/>
    <w:qFormat/>
    <w:pPr>
      <w:keepNext/>
      <w:bidi/>
      <w:spacing w:before="240" w:after="160" w:line="240" w:lineRule="auto"/>
      <w:jc w:val="both"/>
      <w:outlineLvl w:val="3"/>
    </w:pPr>
    <w:rPr>
      <w:rFonts w:ascii="Traditional Arabic" w:hAnsi="Traditional Arabic" w:cs="Traditional Arabic" w:eastAsia="Traditional Arabic"/>
      <w:b/>
      <w:bCs/>
      <w:sz w:val="40"/>
      <w:szCs w:val="40"/>
      <w:rtl/>
    </w:rPr>
  </w:style>
  <w:style w:type="paragraph" w:styleId="Heading5">
    <w:name w:val="heading 5"/>
    <w:basedOn w:val="Normal"/>
    <w:next w:val="BodyText1"/>
    <w:qFormat/>
    <w:pPr>
      <w:keepNext/>
      <w:bidi/>
      <w:spacing w:before="240" w:after="160" w:line="240" w:lineRule="auto"/>
      <w:jc w:val="both"/>
      <w:outlineLvl w:val="4"/>
    </w:pPr>
    <w:rPr>
      <w:rFonts w:ascii="Traditional Arabic" w:hAnsi="Traditional Arabic" w:cs="Traditional Arabic" w:eastAsia="Traditional Arabic"/>
      <w:b/>
      <w:bCs/>
      <w:sz w:val="36"/>
      <w:szCs w:val="36"/>
      <w:rtl/>
    </w:rPr>
  </w:style>
  <w:style w:type="paragraph" w:styleId="FootnoteText">
    <w:name w:val="footnote text"/>
    <w:basedOn w:val="Normal"/>
    <w:pPr>
      <w:bidi/>
      <w:spacing w:after="40" w:line="240" w:lineRule="auto"/>
      <w:jc w:val="both"/>
    </w:pPr>
    <w:rPr>
      <w:rFonts w:ascii="Traditional Arabic" w:hAnsi="Traditional Arabic" w:cs="Traditional Arabic" w:eastAsia="Traditional Arabic"/>
      <w:sz w:val="28"/>
      <w:szCs w:val="28"/>
    </w:rPr>
  </w:style>
  <w:style w:type="character" w:styleId="FootnoteReference">
    <w:name w:val="footnote reference"/>
    <w:rPr>
      <w:vertAlign w:val="superscript"/>
    </w:rPr>
  </w:style>
  <w:style w:type="paragraph" w:styleId="Footer">
    <w:name w:val="footer"/>
    <w:basedOn w:val="Normal"/>
    <w:pPr>
      <w:jc w:val="center"/>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Fn" Type="http://schemas.openxmlformats.org/officeDocument/2006/relationships/footnotes" Target="footnotes.xml"/></Relationships>
</file>

<file path=docProps/app.xml><?xml version="1.0" encoding="utf-8"?>
<Properties xmlns="http://schemas.openxmlformats.org/officeDocument/2006/extended-properties">
  <Application>build.py</Application>
</Properties>
</file>

<file path=docProps/core.xml><?xml version="1.0" encoding="utf-8"?>
<cp:coreProperties xmlns:cp="http://schemas.openxmlformats.org/package/2006/metadata/core-properties" xmlns:dc="http://purl.org/dc/elements/1.1/" xmlns:dcterms="http://purl.org/dc/terms/" xmlns:xsi="http://www.w3.org/2001/XMLSchema-instance">
  <dc:title>التحسين والتقبيح العقليان</dc:title>
  <dc:creator>عبدالله العزب</dc:creator>
  <cp:lastModifiedBy>عبدالله العزب</cp:lastModifiedBy>
  <dcterms:created xsi:type="dcterms:W3CDTF">2026-10-02T10:56:11Z</dcterms:created>
  <dcterms:modified xsi:type="dcterms:W3CDTF">2026-10-02T10:56:11Z</dcterms:modified>
</cp:coreProperties>
</file>