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BodyText1"/>
      </w:pPr>
      <w:r>
        <w:rPr>
          <w:rFonts w:ascii="Traditional Arabic" w:hAnsi="Traditional Arabic" w:cs="Traditional Arabic" w:eastAsia="Traditional Arabic"/>
          <w:rtl/>
        </w:rPr>
        <w:t xml:space="preserve">#٣ المطلب الثاني: مجرد العقل لا يكفي في الوجوب، العقل شرط لا موجب عند تقي الدين السبكي</w:t>
      </w:r>
    </w:p>
    <w:p>
      <w:pPr>
        <w:pStyle w:val="BodyText1"/>
      </w:pPr>
      <w:r>
        <w:rPr>
          <w:rFonts w:ascii="Traditional Arabic" w:hAnsi="Traditional Arabic" w:cs="Traditional Arabic" w:eastAsia="Traditional Arabic"/>
          <w:rtl/>
        </w:rPr>
        <w:t xml:space="preserve">هذه المسألة هي وجه آخر من وجوه الخلاف في الحاكم: هل يثبت الوجوب بالعقل وحده، أو لا يثبت إلا بالشرع ويكون العقل شرطا فيه؟ وقد وقفت لتقي الدين السبكي&lt;هو علي بن عبد الكافي بن علي بن تمام السبكي، توفي ليلة الاثنين المسفرة عن ثالث جمادى الآخرة سنة ست وخمسين وسبعمائة. انظر: طبقات الشافعية الكبرى للسبكي (١٠/ ١٣٩، ٣١٦).&gt; فيها على نصوص في ثلاثة من مصنفاته: قسمه من الإبهاج، والفتاوى، وإبراز الحكم من حديث رفع القلم. وقصدت في هذا المطلب إلى استخراج ما صرح به، ثم بناء القاعدة عليه، ثم عرضها على أقوال الأصوليين والمتكلمين والمفسرين، مع تحرير محل النزاع قبل الخوض في الأقوال.&lt;الدر النظيم في تفسير القرآن العظيم لتقي الدين السبكي مذكور في ثبت مصنفاته وفيه أنه لم يكمل، وفي كشف الظنون أنه لم يكمله. انظر: طبقات الشافعية الكبرى (١٠/ ٣٠٧)، وكشف الظنون (١/ ٧٣٦). ولم أقف على نص الدر النظيم في مكتبة «تراث» التي كان البحث فيها، فاستعيض بنصوصه الأخرى. وأما رقم هذا المطلب فهو على ترتيب الطلب، ولم أرجع فيه إلى ملف الخطة؛ يعرض على الدكتور. ولم أترجم في هذا المطلب إلا للسبكيين، واكتفيت في غيرهم بتوثيق نصوصهم.&gt;</w:t>
      </w:r>
    </w:p>
    <w:p>
      <w:pPr>
        <w:pStyle w:val="BodyText1"/>
      </w:pPr>
      <w:r>
        <w:rPr>
          <w:rFonts w:ascii="Traditional Arabic" w:hAnsi="Traditional Arabic" w:cs="Traditional Arabic" w:eastAsia="Traditional Arabic"/>
          <w:rtl/>
        </w:rPr>
        <w:t xml:space="preserve">#٤ تمهيد</w:t>
      </w:r>
    </w:p>
    <w:p>
      <w:pPr>
        <w:pStyle w:val="BodyText1"/>
      </w:pPr>
      <w:r>
        <w:rPr>
          <w:rFonts w:ascii="Traditional Arabic" w:hAnsi="Traditional Arabic" w:cs="Traditional Arabic" w:eastAsia="Traditional Arabic"/>
          <w:rtl/>
        </w:rPr>
        <w:t xml:space="preserve">#٥ اللغة</w:t>
      </w:r>
    </w:p>
    <w:p>
      <w:pPr>
        <w:pStyle w:val="BodyText1"/>
      </w:pPr>
      <w:r>
        <w:rPr>
          <w:rFonts w:ascii="Traditional Arabic" w:hAnsi="Traditional Arabic" w:cs="Traditional Arabic" w:eastAsia="Traditional Arabic"/>
          <w:rtl/>
        </w:rPr>
        <w:t xml:space="preserve">أبدأ بالمفردات الثلاث التي تدور عليها العبارة، وهي العقل والوجوب والكفاية. أما العقل فقال ابن فارس: "العين والقاف واللام أصل واحد منقاس مطرد، يدل عظمه على حبسة في الشئ أو ما يقارب الحبسة. من ذلك العقل، وهو الحابس عن ذميم القول والفعل"، ثم نقل عن الخليل: "العقل: نقيض الجهل".&lt;مقاييس اللغة لابن فارس (٤/ ٦٩).&gt; وأما الوجوب فقال ابن منظور: "وجب الشيء يجب وجوبا أي لزم"، وقال: "واستوجبه أي استحقه"،&lt;لسان العرب لابن منظور (١/ ٧٩٣).&gt; وقال كذلك: "يقال: وجب الشيء يجب وجوبا إذا ثبت، ولزم".&lt;لسان العرب (١/ ٧٩٣).&gt; وأما الكفاية فقال ابن فارس: "الكاف والفاء والحرف المعتل أصل صحيح يدل على الحسب الذي لا مستزاد فيه"، وقال: "كفى كفاية، إذا قام بالأمر".&lt;مقاييس اللغة (٥/ ١٨٨).&gt;</w:t>
      </w:r>
    </w:p>
    <w:p>
      <w:pPr>
        <w:pStyle w:val="BodyText1"/>
      </w:pPr>
      <w:r>
        <w:rPr>
          <w:rFonts w:ascii="Traditional Arabic" w:hAnsi="Traditional Arabic" w:cs="Traditional Arabic" w:eastAsia="Traditional Arabic"/>
          <w:rtl/>
        </w:rPr>
        <w:t xml:space="preserve">ويظهر لي - والله أعلم - أن هذه الأصول اللغوية تضيء العبارة: فالعقل في أصله حابس عن الذميم، أي هو مانع ورادع، والوجوب في أصله ثبوت ولزوم يستحق به صاحبه، والكفاية قيام بالأمر لا يحتاج معه إلى مزيد. فقولنا «مجرد العقل لا يكفي في الوجوب» معناه أن العقل - وهو في أصله حابس عن الذميم - لا يقوم وحده بالأمر الذي يثبت به اللزوم والاستحقاق، بل لا بد معه من أمر آخر هو الشرع. ولم أقف على من نص على هذا الربط اللغوي في المسألة.</w:t>
      </w:r>
    </w:p>
    <w:p>
      <w:pPr>
        <w:pStyle w:val="BodyText1"/>
      </w:pPr>
      <w:r>
        <w:rPr>
          <w:rFonts w:ascii="Traditional Arabic" w:hAnsi="Traditional Arabic" w:cs="Traditional Arabic" w:eastAsia="Traditional Arabic"/>
          <w:rtl/>
        </w:rPr>
        <w:t xml:space="preserve">#٥ الاصطلاح</w:t>
      </w:r>
    </w:p>
    <w:p>
      <w:pPr>
        <w:pStyle w:val="BodyText1"/>
      </w:pPr>
      <w:r>
        <w:rPr>
          <w:rFonts w:ascii="Traditional Arabic" w:hAnsi="Traditional Arabic" w:cs="Traditional Arabic" w:eastAsia="Traditional Arabic"/>
          <w:rtl/>
        </w:rPr>
        <w:t xml:space="preserve">وأما الاصطلاح فالوجوب عند الأصوليين الأشاعرة من الأحكام الشرعية، فقد قال الغزالي: "الحكم عندنا عبارة عن خطاب الشرع إذا تعلق بأفعال المكلفين"، ثم قال: "والواجب هو المقول فيه افعلوه ولا تتركوه"،&lt;المستصفى للغزالي (ص: ٤٥).&gt; ثم قال: "فإن لم يوجد هذا الخطاب من الشارع فلا حكم، فلهذا قلنا العقل لا يحسن ولا يقبح ولا يوجب شكر المنعم".&lt;المستصفى (ص: ٤٥).&gt; وقال الآمدي: "لا حاكم سوى الله تعالى، ولا حكم إلا ما حكم به، ويتفرع عليه أن العقل لا يحسن ولا يقبح ولا يوجب شكر المنعم".&lt;الإحكام للآمدي (١/ ٧٩).&gt;</w:t>
      </w:r>
    </w:p>
    <w:p>
      <w:pPr>
        <w:pStyle w:val="BodyText1"/>
      </w:pPr>
      <w:r>
        <w:rPr>
          <w:rFonts w:ascii="Traditional Arabic" w:hAnsi="Traditional Arabic" w:cs="Traditional Arabic" w:eastAsia="Traditional Arabic"/>
          <w:rtl/>
        </w:rPr>
        <w:t xml:space="preserve">وأما العقل فقد جاء في أصول البزدوي أنه "نور في بدن الآدمي"، وأنه "عاجز بنفسه".&lt;كشف الأسرار عن أصول فخر الإسلام البزدوي لعلاء الدين البخاري (٤/ ٢٣٢).&gt; وفي شرحه: "فلا يصلح أن يكون موجبا بنفسه شيئا ولا مدركا بنفسه حسن الأشياء وقبحها".&lt;كشف الأسرار (٤/ ٢٣٢).&gt;</w:t>
      </w:r>
    </w:p>
    <w:p>
      <w:pPr>
        <w:pStyle w:val="BodyText1"/>
      </w:pPr>
      <w:r>
        <w:rPr>
          <w:rFonts w:ascii="Traditional Arabic" w:hAnsi="Traditional Arabic" w:cs="Traditional Arabic" w:eastAsia="Traditional Arabic"/>
          <w:rtl/>
        </w:rPr>
        <w:t xml:space="preserve">#٥ الفروق التي يقع فيها الخلط</w:t>
      </w:r>
    </w:p>
    <w:p>
      <w:pPr>
        <w:pStyle w:val="BodyText1"/>
      </w:pPr>
      <w:r>
        <w:rPr>
          <w:rFonts w:ascii="Traditional Arabic" w:hAnsi="Traditional Arabic" w:cs="Traditional Arabic" w:eastAsia="Traditional Arabic"/>
          <w:rtl/>
        </w:rPr>
        <w:t xml:space="preserve">وقد وقع الخلط في هذه المسألة في خمسة مواضع، أحتاج إلى تحريرها قبل الدخول في الأقوال.</w:t>
      </w:r>
    </w:p>
    <w:p>
      <w:pPr>
        <w:pStyle w:val="BodyText1"/>
      </w:pPr>
      <w:r>
        <w:rPr>
          <w:rFonts w:ascii="Traditional Arabic" w:hAnsi="Traditional Arabic" w:cs="Traditional Arabic" w:eastAsia="Traditional Arabic"/>
          <w:rtl/>
        </w:rPr>
        <w:t xml:space="preserve">الأول: الفرق بين العقل شرطا في الوجوب والعقل موجبا له. وقد قال الحنفية في كشف الأسرار: "العقل معتبر لإثبات الأهلية أي أهلية الخطاب إذ الخطاب لا يفهم بدون العقل وخطاب من لا يفهم قبيح"،&lt;كشف الأسرار (٤/ ٢٣٢).&gt; فالعقل شرط لفهم الخطاب، لا مصدر للحكم. وقد صنفه تقي الدين السبكي في الإبهاج مما يتوقف عليه الوجوب، كما سيأتي.</w:t>
      </w:r>
    </w:p>
    <w:p>
      <w:pPr>
        <w:pStyle w:val="BodyText1"/>
      </w:pPr>
      <w:r>
        <w:rPr>
          <w:rFonts w:ascii="Traditional Arabic" w:hAnsi="Traditional Arabic" w:cs="Traditional Arabic" w:eastAsia="Traditional Arabic"/>
          <w:rtl/>
        </w:rPr>
        <w:t xml:space="preserve">الثاني: الفرق بين إدراك العقل وبين إيجابه. وقد قال الزركشي: "فهاهنا أمران: أحدهما: إدراك العقل حسن الأشياء وقبحها، والثاني: أن ذلك كاف في الثواب والعقاب وإن لم يرد شرع".&lt;البحر المحيط في أصول الفقه للزركشي (١/ ١٩١).&gt; فالأول موضع اتفاق، والثاني هو موضع النزاع.</w:t>
      </w:r>
    </w:p>
    <w:p>
      <w:pPr>
        <w:pStyle w:val="BodyText1"/>
      </w:pPr>
      <w:r>
        <w:rPr>
          <w:rFonts w:ascii="Traditional Arabic" w:hAnsi="Traditional Arabic" w:cs="Traditional Arabic" w:eastAsia="Traditional Arabic"/>
          <w:rtl/>
        </w:rPr>
        <w:t xml:space="preserve">الثالث: الفرق بين الوجوب الذي هو مقتضى الثواب والعقاب، والوجوب بمعنى حصول المقتضي. وقد قال ابن القيم: "لا ريب أن الوجوب والتحريم اللذين هما متعلق الثواب والعقاب بدون الشرع ممتنع".&lt;مفتاح دار السعادة لابن القيم (٢/ ١١٣).&gt;</w:t>
      </w:r>
    </w:p>
    <w:p>
      <w:pPr>
        <w:pStyle w:val="BodyText1"/>
      </w:pPr>
      <w:r>
        <w:rPr>
          <w:rFonts w:ascii="Traditional Arabic" w:hAnsi="Traditional Arabic" w:cs="Traditional Arabic" w:eastAsia="Traditional Arabic"/>
          <w:rtl/>
        </w:rPr>
        <w:t xml:space="preserve">الرابع: الفرق بين الوجوب على العبد والوجوب على الله. فالمعتزلة يوجبون على العبد شكر المنعم بالعقل،&lt;الإبهاج (٢/ ٣٧٣).&gt; ويوجبون على الله - فيما حكاه تقي الدين السبكي عن خصمه - إثابة الطائع،&lt;فتاوى السبكي (٢/ ٥٢٢).&gt; وهذا الثاني هو الذي ناقشه في الفتاوى، كما سيأتي.</w:t>
      </w:r>
    </w:p>
    <w:p>
      <w:pPr>
        <w:pStyle w:val="BodyText1"/>
      </w:pPr>
      <w:r>
        <w:rPr>
          <w:rFonts w:ascii="Traditional Arabic" w:hAnsi="Traditional Arabic" w:cs="Traditional Arabic" w:eastAsia="Traditional Arabic"/>
          <w:rtl/>
        </w:rPr>
        <w:t xml:space="preserve">الخامس: الفرق بين حصول المعرفة ووجوبها. وقد قال ابن المنير: "نعم العقل عمدة في حصول المعرفة لا في وجوبها، وبين الحصول والوجوب بون بعيد".&lt;الانتصاف المطبوع بهامش الكشاف (٢/ ٦٥٣). وصاحب الانتصاف - كما في بيانات الكتاب في تراث - ابن المنير الإسكندري، وفي النص نفسه «قال أحمد» ولا يسميه.&gt;</w:t>
      </w:r>
    </w:p>
    <w:p>
      <w:pPr>
        <w:pStyle w:val="BodyText1"/>
      </w:pPr>
      <w:r>
        <w:rPr>
          <w:rFonts w:ascii="Traditional Arabic" w:hAnsi="Traditional Arabic" w:cs="Traditional Arabic" w:eastAsia="Traditional Arabic"/>
          <w:rtl/>
        </w:rPr>
        <w:t xml:space="preserve">#٤ أولا: النص محل الاستنباط</w:t>
      </w:r>
    </w:p>
    <w:p>
      <w:pPr>
        <w:pStyle w:val="BodyText1"/>
      </w:pPr>
      <w:r>
        <w:rPr>
          <w:rFonts w:ascii="Traditional Arabic" w:hAnsi="Traditional Arabic" w:cs="Traditional Arabic" w:eastAsia="Traditional Arabic"/>
          <w:rtl/>
        </w:rPr>
        <w:t xml:space="preserve">#٥ نصوص تقي الدين السبكي في المسألة</w:t>
      </w:r>
    </w:p>
    <w:p>
      <w:pPr>
        <w:pStyle w:val="BodyText1"/>
      </w:pPr>
      <w:r>
        <w:rPr>
          <w:rFonts w:ascii="Traditional Arabic" w:hAnsi="Traditional Arabic" w:cs="Traditional Arabic" w:eastAsia="Traditional Arabic"/>
          <w:rtl/>
        </w:rPr>
        <w:t xml:space="preserve">تقدم أن الإبهاج ليس كله لتقي الدين؛ فقد قال التاج: "وقد وصل والدي الشيخ الإمام جزاه الله الخير إلى مسألة مقدمة الواجب، ونحن نتلوه"،&lt;الإبهاج (٢/ ٣٠١).&gt; ثم قال: "قلت: هذا ما وقف عنده والدي أطال الله عمره، ومن هنا أبتدئ".&lt;الإبهاج (٢/ ٣٠٣).&gt; فما بين هذين الموضعين كلام الأب بنصه، وهو أنفس ما في الكتاب لهذا البحث.</w:t>
      </w:r>
    </w:p>
    <w:p>
      <w:pPr>
        <w:pStyle w:val="BodyText1"/>
      </w:pPr>
      <w:r>
        <w:rPr>
          <w:rFonts w:ascii="Traditional Arabic" w:hAnsi="Traditional Arabic" w:cs="Traditional Arabic" w:eastAsia="Traditional Arabic"/>
          <w:rtl/>
        </w:rPr>
        <w:t xml:space="preserve">فالنص الأول في الإبهاج (٢/ ٣٠٢)، في مسألة ما لا يتم الواجب إلا به، قال تقي الدين السبكي: "وجملة ما يتوقف عليه الفعل إما أن يكون من فعل الله تعالى، أو فعل العبد، وكل منهما إما أن يتوقف عليه الوجوب أو لا، فالذي من فعل الله تعالى ويتوقف عليه الوجوب: كالعقل وسلامة الأعضاء التي بها الفعل، والذي لا يتوقف عليه الوجوب: خلق قدرة العبد وداعيته".&lt;الإبهاج (٢/ ٣٠٢).&gt; ثم قال في فعل العبد: "فلذلك لم أر له مثالا يصح اجتماع الوجوب معه إلا القدرة والداعية، ورأيت جماعة خبطوا في ذلك".&lt;الإبهاج (٢/ ٣٠٢).&gt;</w:t>
      </w:r>
    </w:p>
    <w:p>
      <w:pPr>
        <w:pStyle w:val="BodyText1"/>
      </w:pPr>
      <w:r>
        <w:rPr>
          <w:rFonts w:ascii="Traditional Arabic" w:hAnsi="Traditional Arabic" w:cs="Traditional Arabic" w:eastAsia="Traditional Arabic"/>
          <w:rtl/>
        </w:rPr>
        <w:t xml:space="preserve">والنص الثاني في الفتاوى (٢/ ٥٢٢ - ٥٢٣)، في «باب جامع»، في مسألة جرت بينه وبين بعض الحاضرين في مجلس. فقد حكى أنه كان في مجلس يقرأ فيه القرآن "وإلى جانبي قاضي القضاة جلال الدين"،&lt;فتاوى السبكي (٢/ ٥٢٢).&gt; فقرأ القارئ قوله تعالى: {وأما الذين آمنوا وعملوا الصالحات فيوفيهم أجورهم والله لا يحب الظالمين}، فقال القاضي: إن ترك توفية الأجور ظلم فتكون التوفية واجبة. فأجابه تقي الدين السبكي بأن ما سمي في الآية أجرا هو جزاء سماه الله أجرا على سبيل المجاز؛ "لأن العبد لا يستحق بطاعته شيئا على الله تعالى"،&lt;فتاوى السبكي (٢/ ٥٢٢).&gt; ثم قال: "فإن النزاع بيننا وبين الخصم إنما هو في الوجوب العقلي، ومعناه أن إثابة الطائع صفة كمال وضدها نقص بالعقل سواء وعد بذلك أم لا".&lt;فتاوى السبكي (٢/ ٥٢٢).&gt; ثم قال: "فالخصم يدعي ذلك ونحن ننكره ونقول: العقل لا يوجب ذلك ولا نحكم بأن ضده صفة نقص".&lt;فتاوى السبكي (٢/ ٥٢٢).&gt; ثم بين أن الله "تفضل ووعد بإثابة الطائع"، وأنه سماه أجرا "تأكيدا لثبوته".&lt;فتاوى السبكي (٢/ ٥٢٢).&gt;</w:t>
      </w:r>
    </w:p>
    <w:p>
      <w:pPr>
        <w:pStyle w:val="BodyText1"/>
      </w:pPr>
      <w:r>
        <w:rPr>
          <w:rFonts w:ascii="Traditional Arabic" w:hAnsi="Traditional Arabic" w:cs="Traditional Arabic" w:eastAsia="Traditional Arabic"/>
          <w:rtl/>
        </w:rPr>
        <w:t xml:space="preserve">وأورد القاضي على ذلك أن الوعد يصير به الترك إخلافا ونقصا، فأجابه بقوله: "فبعد الوعد نحن نقول: إنه واقع ولا بد وأما قبل الوعد فلا وعد فلا خلف فلا نقص".&lt;فتاوى السبكي (٢/ ٥٢٣).&gt; ثم ذكر أن هذا الاحتجاج "قاله الزمخشري في قوله تعالى" {إن الله لا يظلم مثقال ذرة}، وأن جوابه "ما ذكرناه".&lt;فتاوى السبكي (٢/ ٥٢٣).&gt;</w:t>
      </w:r>
    </w:p>
    <w:p>
      <w:pPr>
        <w:pStyle w:val="BodyText1"/>
      </w:pPr>
      <w:r>
        <w:rPr>
          <w:rFonts w:ascii="Traditional Arabic" w:hAnsi="Traditional Arabic" w:cs="Traditional Arabic" w:eastAsia="Traditional Arabic"/>
          <w:rtl/>
        </w:rPr>
        <w:t xml:space="preserve">والنص الثالث في الفتاوى أيضا، في جوابه على أسئلة طرابلس (٢/ ٦٢٠ - ٦٢٥)، وقد ورد على الشيخ "بالقاهرة في سنة ثمان وثلاثين وسبعمائة" كما في أوله.&lt;فتاوى السبكي (٢/ ٥٩٤).&gt; وفيه أن السائل قال: "ثم إن الجن سابقون على الإنس في الخلق والوجود"، فإن لم يرسل إليهم رسول لزم عدم تكليفهم وعدم تعذيبهم، وهو على خلاف قوله تعالى {وما كنا معذبين حتى نبعث رسولا}.&lt;فتاوى السبكي (٢/ ٦١٩ - ٦٢٠).&gt; فأجابه بقوله: "وتوقيف التكليف على الرسول إنما هو في هذه الأمم التي فيها الرسل"، وبأنه "لا خلاف أن إبليس مكلف معذب لمخالفته أمر الله تعالى قبل أن يأتيه رسول لا إنسي ولا جني".&lt;فتاوى السبكي (٢/ ٦٢٠ - ٦٢١).&gt; ثم عدد المخارج: "فالآية مخصوصة أو أن العقل قائم مقام الرسول عند من يثبت الأحكام بالعقل أو أن الرسول قد يكون من الملائكة أو أن التكليف يحصل بسماع كلام الله تعالى أو خلق علم".&lt;فتاوى السبكي (٢/ ٦٢٠ - ٦٢١).&gt; وختم الجواب بقوله: "وهذا كله على مذهبنا في أن الأحكام كلها أصولها وفروعها لا تثبت إلا بالشرع، وأما المعتزلة القائلون بأنها تثبت بالعقل فيكتفون في إغراق فرعون ونحوه بقيام الدليل العقلي عليه وبالإيمان ومخالفته".&lt;فتاوى السبكي (٢/ ٦٢٥).&gt;</w:t>
      </w:r>
    </w:p>
    <w:p>
      <w:pPr>
        <w:pStyle w:val="BodyText1"/>
      </w:pPr>
      <w:r>
        <w:rPr>
          <w:rFonts w:ascii="Traditional Arabic" w:hAnsi="Traditional Arabic" w:cs="Traditional Arabic" w:eastAsia="Traditional Arabic"/>
          <w:rtl/>
        </w:rPr>
        <w:t xml:space="preserve">والنص الرابع كلام متفرق في الفتاوى في الصلة بين العقل والشرع، فقال في موضع: "ففيه إشارة إلى أن الجمع بين النقيضين مستحيل في العقل ومستحيل في الشرع أيضا"، وأنكر على بعض الفقهاء قوله إن استحالة التناقض إنما هي في العقل لا في الشرع، فقال: "وهو عجيب من هذا الفقيه فإن كل ما استحال في العقل استحال في الشرع".&lt;فتاوى السبكي (١/ ٢١).&gt; وقال في موضع آخر: "والشرع لا يأتي بالمستحيلات".&lt;فتاوى السبكي (١/ ٢٠٩).&gt; وقال في الخطاب بالأمر والنهي: "ولا شك أن المخاطب بهما شرطه الفهم".&lt;فتاوى السبكي (١/ ١٩٤).&gt;</w:t>
      </w:r>
    </w:p>
    <w:p>
      <w:pPr>
        <w:pStyle w:val="BodyText1"/>
      </w:pPr>
      <w:r>
        <w:rPr>
          <w:rFonts w:ascii="Traditional Arabic" w:hAnsi="Traditional Arabic" w:cs="Traditional Arabic" w:eastAsia="Traditional Arabic"/>
          <w:rtl/>
        </w:rPr>
        <w:t xml:space="preserve">وقد اجتمعت هذه المواضع، وفيها صيغتان مختلفتان: العقل شرط في الوجوب، والعقل لا يوجب، وتكرر مدلولهما في ثلاثة مصنفات؛ وفي ذلك دليل على أن المسألة عنده قاعدة مطردة لا مسألة عارضة. ولم أقف على نص له بلفظ «مجرد العقل لا يكفي»، وإنما هذا لفظ المطلب، والقاعدة مستخرجة من هذه النصوص.</w:t>
      </w:r>
    </w:p>
    <w:p>
      <w:pPr>
        <w:pStyle w:val="BodyText1"/>
      </w:pPr>
      <w:r>
        <w:rPr>
          <w:rFonts w:ascii="Traditional Arabic" w:hAnsi="Traditional Arabic" w:cs="Traditional Arabic" w:eastAsia="Traditional Arabic"/>
          <w:rtl/>
        </w:rPr>
        <w:t xml:space="preserve">#٥ تفكيك النص إلى عناصره</w:t>
      </w:r>
    </w:p>
    <w:p>
      <w:pPr>
        <w:pStyle w:val="BodyText1"/>
      </w:pPr>
      <w:r>
        <w:rPr>
          <w:rFonts w:ascii="Traditional Arabic" w:hAnsi="Traditional Arabic" w:cs="Traditional Arabic" w:eastAsia="Traditional Arabic"/>
          <w:rtl/>
        </w:rPr>
        <w:t xml:space="preserve">يتحصل من هذه النصوص تسعة عناصر. (أ) أن العقل من فعل الله، ويتوقف عليه الوجوب، فهو شرط فيه. (ب) أن سلامة الأعضاء مثله، وأن قدرة العبد وداعيته لا يتوقف عليهما الوجوب. (ج) أن العقل لا يوجب شيئا، لا إثابة الطائع ولا غيرها. (د) أن إثابة الطائع تفضل ووعد، لا استحقاق. (هـ) أنه قبل الوعد لا وعد فلا خلف فلا نقص. (و) أن توقف التكليف على الرسول إنما هو في الأمم التي فيها الرسل، وأن في غيرها يقوم مقامه سماع كلام الله أو خلق علم. (ز) أن الأحكام كلها لا تثبت إلا بالشرع. (ح) أن العقل مانع، فما استحال فيه استحال في الشرع. (ط) أن الخطاب شرطه الفهم.</w:t>
      </w:r>
    </w:p>
    <w:p>
      <w:pPr>
        <w:pStyle w:val="BodyText1"/>
      </w:pPr>
      <w:r>
        <w:rPr>
          <w:rFonts w:ascii="Traditional Arabic" w:hAnsi="Traditional Arabic" w:cs="Traditional Arabic" w:eastAsia="Traditional Arabic"/>
          <w:rtl/>
        </w:rPr>
        <w:t xml:space="preserve">#٤ ثانيا: صياغة القاعدة ومعناها</w:t>
      </w:r>
    </w:p>
    <w:p>
      <w:pPr>
        <w:pStyle w:val="BodyText1"/>
      </w:pPr>
      <w:r>
        <w:rPr>
          <w:rFonts w:ascii="Traditional Arabic" w:hAnsi="Traditional Arabic" w:cs="Traditional Arabic" w:eastAsia="Traditional Arabic"/>
          <w:rtl/>
        </w:rPr>
        <w:t xml:space="preserve">والقاعدة التي أصوغها من هذه النصوص هي: (العقل شرط في الوجوب لا موجب له، فلا يكفي مجرده في ثبوته).</w:t>
      </w:r>
    </w:p>
    <w:p>
      <w:pPr>
        <w:pStyle w:val="BodyText1"/>
      </w:pPr>
      <w:r>
        <w:rPr>
          <w:rFonts w:ascii="Traditional Arabic" w:hAnsi="Traditional Arabic" w:cs="Traditional Arabic" w:eastAsia="Traditional Arabic"/>
          <w:rtl/>
        </w:rPr>
        <w:t xml:space="preserve">ومعناها أن للعقل ثلاثة أدوار عند تقي الدين السبكي: أنه شرط يتوقف عليه الوجوب، وأنه مانع يمنع ما استحال فيه، وأنه مدرك. وليس له دور رابع هو الإيجاب. فإذا فقد العقل لم يتوجه الخطاب، وإذا وجد لم يثبت به الوجوب، بل لا بد من خطاب الشرع أو ما يقوم مقامه. ولهذا قال إن الأحكام "لا تثبت إلا بالشرع".&lt;فتاوى السبكي (٢/ ٦٢٥).&gt;</w:t>
      </w:r>
    </w:p>
    <w:p>
      <w:pPr>
        <w:pStyle w:val="BodyText1"/>
      </w:pPr>
      <w:r>
        <w:rPr>
          <w:rFonts w:ascii="Traditional Arabic" w:hAnsi="Traditional Arabic" w:cs="Traditional Arabic" w:eastAsia="Traditional Arabic"/>
          <w:rtl/>
        </w:rPr>
        <w:t xml:space="preserve">#٥ القواعد الأخص المتفرعة عن القاعدة</w:t>
      </w:r>
    </w:p>
    <w:p>
      <w:pPr>
        <w:pStyle w:val="BodyText1"/>
      </w:pPr>
      <w:r>
        <w:rPr>
          <w:rFonts w:ascii="Traditional Arabic" w:hAnsi="Traditional Arabic" w:cs="Traditional Arabic" w:eastAsia="Traditional Arabic"/>
          <w:rtl/>
        </w:rPr>
        <w:t xml:space="preserve">وتتفرع عنها قواعد أخص نص عليها. الأولى: (كل ما استحال في العقل استحال في الشرع).&lt;فتاوى السبكي (١/ ٢١).&gt; والثانية: (الإثابة تفضل بوعد، لا استحقاق بعقل).&lt;فتاوى السبكي (٢/ ٥٢٢).&gt; والثالثة: (توقف التكليف على الرسول خاص بالأمم التي فيها الرسل).&lt;فتاوى السبكي (٢/ ٦٢٠).&gt; والرابعة: (المخاطب بالأمر والنهي شرطه الفهم).&lt;فتاوى السبكي (١/ ١٩٤).&gt;</w:t>
      </w:r>
    </w:p>
    <w:p>
      <w:pPr>
        <w:pStyle w:val="BodyText1"/>
      </w:pPr>
      <w:r>
        <w:rPr>
          <w:rFonts w:ascii="Traditional Arabic" w:hAnsi="Traditional Arabic" w:cs="Traditional Arabic" w:eastAsia="Traditional Arabic"/>
          <w:rtl/>
        </w:rPr>
        <w:t xml:space="preserve">#٤ ثالثا: تحرير محل النزاع والأقوال</w:t>
      </w:r>
    </w:p>
    <w:p>
      <w:pPr>
        <w:pStyle w:val="BodyText1"/>
      </w:pPr>
      <w:r>
        <w:rPr>
          <w:rFonts w:ascii="Traditional Arabic" w:hAnsi="Traditional Arabic" w:cs="Traditional Arabic" w:eastAsia="Traditional Arabic"/>
          <w:rtl/>
        </w:rPr>
        <w:t xml:space="preserve">#٥ أ - موضع الاتفاق</w:t>
      </w:r>
    </w:p>
    <w:p>
      <w:pPr>
        <w:pStyle w:val="BodyText1"/>
      </w:pPr>
      <w:r>
        <w:rPr>
          <w:rFonts w:ascii="Traditional Arabic" w:hAnsi="Traditional Arabic" w:cs="Traditional Arabic" w:eastAsia="Traditional Arabic"/>
          <w:rtl/>
        </w:rPr>
        <w:t xml:space="preserve">والذي يظهر أن الفريقين متفقان على أمور. الأول: أن للعقل مدخلا في الوجوب من جهة الأهلية، كما تقدم عن الحنفية: "العقل معتبر لإثبات الأهلية".&lt;كشف الأسرار (٤/ ٢٣٢).&gt; والثاني: أن العقل يدرك الحسن والقبح، فقد قال الزركشي: "واتفق المعتزلي مع السني على أن العقل يدرك حسن الأشياء وقبحها قبل ورود الشرع".&lt;البحر المحيط (١/ ١٩٠).&gt; والثالث: أن الوجوب الشرعي ثابت، فقد قال التاج: "وأما وجوبه شرعا فمتفق عليه".&lt;الإبهاج (٢/ ٣٧٣).&gt; وهذا من كلام التاج لا من كلام أبيه، وإنما ذكرته مستندا للاتفاق.</w:t>
      </w:r>
    </w:p>
    <w:p>
      <w:pPr>
        <w:pStyle w:val="BodyText1"/>
      </w:pPr>
      <w:r>
        <w:rPr>
          <w:rFonts w:ascii="Traditional Arabic" w:hAnsi="Traditional Arabic" w:cs="Traditional Arabic" w:eastAsia="Traditional Arabic"/>
          <w:rtl/>
        </w:rPr>
        <w:t xml:space="preserve">#٥ ب - موضع النزاع</w:t>
      </w:r>
    </w:p>
    <w:p>
      <w:pPr>
        <w:pStyle w:val="BodyText1"/>
      </w:pPr>
      <w:r>
        <w:rPr>
          <w:rFonts w:ascii="Traditional Arabic" w:hAnsi="Traditional Arabic" w:cs="Traditional Arabic" w:eastAsia="Traditional Arabic"/>
          <w:rtl/>
        </w:rPr>
        <w:t xml:space="preserve">والنزاع في الأمر الثاني الذي ذكره الزركشي: "أن ذلك كاف في الثواب والعقاب وإن لم يرد شرع".&lt;البحر المحيط (١/ ١٩١).&gt; أي: هل إدراك العقل للحسن والقبح كاف في ثبوت الوجوب والتحريم وترتب الثواب والعقاب قبل ورود الشرع؟</w:t>
      </w:r>
    </w:p>
    <w:p>
      <w:pPr>
        <w:pStyle w:val="BodyText1"/>
      </w:pPr>
      <w:r>
        <w:rPr>
          <w:rFonts w:ascii="Traditional Arabic" w:hAnsi="Traditional Arabic" w:cs="Traditional Arabic" w:eastAsia="Traditional Arabic"/>
          <w:rtl/>
        </w:rPr>
        <w:t xml:space="preserve">#٥ ج - الأقوال</w:t>
      </w:r>
    </w:p>
    <w:p>
      <w:pPr>
        <w:pStyle w:val="BodyText1"/>
      </w:pPr>
      <w:r>
        <w:rPr>
          <w:rFonts w:ascii="Traditional Arabic" w:hAnsi="Traditional Arabic" w:cs="Traditional Arabic" w:eastAsia="Traditional Arabic"/>
          <w:rtl/>
        </w:rPr>
        <w:t xml:space="preserve">والأقوال ثلاثة، وقد جمعها الزركشي فقال: "أحدها: أن حسن الأشياء وقبحها والثواب والعقاب عليها شرعيان، وهو قول الأشعرية، والثاني: عقليان وهو قول المعتزلة. والثالث: أن حسنها وقبحها ثابت بالعقل، والثواب والعقاب يتوقف على الشرع".&lt;البحر المحيط (١/ ١٩١).&gt;</w:t>
      </w:r>
    </w:p>
    <w:p>
      <w:pPr>
        <w:pStyle w:val="BodyText1"/>
      </w:pPr>
      <w:r>
        <w:rPr>
          <w:rFonts w:ascii="Traditional Arabic" w:hAnsi="Traditional Arabic" w:cs="Traditional Arabic" w:eastAsia="Traditional Arabic"/>
          <w:rtl/>
        </w:rPr>
        <w:t xml:space="preserve">فالقول الأول - أن العقل لا يوجب - هو قول الأشاعرة. قال الجويني: "لا يدرك وجوب شكر المنعم بالعقل عندنا".&lt;البرهان في أصول الفقه للجويني (١/ ١١).&gt; وقال الغزالي والآمدي بما تقدم نقله. وقال الرازي: "أحلف بالله تعالى وبالأيمان التي لا مخارج منها أني راجعت عقلي وذهني وطرحت الهوى والتعصب فلم أجد عقلي قاطعا بذلك في حق من لا يصح عليه النفع والضرر".&lt;المحصول للرازي (١/ ١٥٦).&gt;</w:t>
      </w:r>
    </w:p>
    <w:p>
      <w:pPr>
        <w:pStyle w:val="BodyText1"/>
      </w:pPr>
      <w:r>
        <w:rPr>
          <w:rFonts w:ascii="Traditional Arabic" w:hAnsi="Traditional Arabic" w:cs="Traditional Arabic" w:eastAsia="Traditional Arabic"/>
          <w:rtl/>
        </w:rPr>
        <w:t xml:space="preserve">والقول الثاني - أن العقل يستقل بالإيجاب - هو قول المعتزلة. قال القرافي في نقله عنهم: "لا يفتقر إلى ورود الشرائع بل العقل يستقل بثبوته قبل الرسل".&lt;شرح تنقيح الفصول للقرافي (ص: ٨٨).&gt; وقال ابن المنير في نقل مذهب القدرية: "إذ العقل كاف عندهم في إيجاب المعرفة بل في جميع الأحكام، بناء على قاعدة التحسين والتقبيح العقليين".&lt;الانتصاف المطبوع بهامش الكشاف (٢/ ٦٥٣).&gt;</w:t>
      </w:r>
    </w:p>
    <w:p>
      <w:pPr>
        <w:pStyle w:val="BodyText1"/>
      </w:pPr>
      <w:r>
        <w:rPr>
          <w:rFonts w:ascii="Traditional Arabic" w:hAnsi="Traditional Arabic" w:cs="Traditional Arabic" w:eastAsia="Traditional Arabic"/>
          <w:rtl/>
        </w:rPr>
        <w:t xml:space="preserve">والقول الثالث - وهو الوسط - أن العقل يدرك الحسن والقبح ولا يترتب الثواب والعقاب إلا بالشرع. وقد قال ابن تيمية: "ثم إن الله بكمال رحمته وإحسانه لا يعذب أحدا إلا بعد إرسال رسول إليهم، وإن كانوا فاعلين لما يستحقون به الذم والعقاب".&lt;درء تعارض العقل والنقل لابن تيمية (٨/ ٤٩٢).&gt; وهو قول ابن القيم المتقدم: "الوجوب والتحريم اللذين هما متعلق الثواب والعقاب بدون الشرع ممتنع".&lt;مفتاح دار السعادة (٢/ ١١٣).&gt;</w:t>
      </w:r>
    </w:p>
    <w:p>
      <w:pPr>
        <w:pStyle w:val="BodyText1"/>
      </w:pPr>
      <w:r>
        <w:rPr>
          <w:rFonts w:ascii="Traditional Arabic" w:hAnsi="Traditional Arabic" w:cs="Traditional Arabic" w:eastAsia="Traditional Arabic"/>
          <w:rtl/>
        </w:rPr>
        <w:t xml:space="preserve">#٥ د - أدلة المختار</w:t>
      </w:r>
    </w:p>
    <w:p>
      <w:pPr>
        <w:pStyle w:val="BodyText1"/>
      </w:pPr>
      <w:r>
        <w:rPr>
          <w:rFonts w:ascii="Traditional Arabic" w:hAnsi="Traditional Arabic" w:cs="Traditional Arabic" w:eastAsia="Traditional Arabic"/>
          <w:rtl/>
        </w:rPr>
        <w:t xml:space="preserve">والمختار - على ما يظهر من نصوص تقي الدين - هو القول الأول، وهو أن الوجوب لا يثبت بالعقل. وأدلة ذلك ثلاثة. الأول: النقل، وفيه آيتان استدل بهما الزركشي: {وما كنا معذبين حتى نبعث رسولا}، وقوله: {رسلا مبشرين ومنذرين لئلا يكون للناس على الله حجة بعد الرسل}، قال: "فلو كان له الحجة عليهم قبل البعثة لما قال: إنما أبعث الرسل لأقطع بها حجة المحتج".&lt;البحر المحيط (١/ ١٩٢).&gt;</w:t>
      </w:r>
    </w:p>
    <w:p>
      <w:pPr>
        <w:pStyle w:val="BodyText1"/>
      </w:pPr>
      <w:r>
        <w:rPr>
          <w:rFonts w:ascii="Traditional Arabic" w:hAnsi="Traditional Arabic" w:cs="Traditional Arabic" w:eastAsia="Traditional Arabic"/>
          <w:rtl/>
        </w:rPr>
        <w:t xml:space="preserve">والثاني: أن الشكر تعب ناجز للشاكر، ولا يجب بالعقل ما لا فائدة فيه. قال الجويني: "والبرهان القاطع في بطلان ما صاروا إليه أن الشكر تعب للشاكر ناجزا".&lt;البرهان (١/ ١١).&gt;</w:t>
      </w:r>
    </w:p>
    <w:p>
      <w:pPr>
        <w:pStyle w:val="BodyText1"/>
      </w:pPr>
      <w:r>
        <w:rPr>
          <w:rFonts w:ascii="Traditional Arabic" w:hAnsi="Traditional Arabic" w:cs="Traditional Arabic" w:eastAsia="Traditional Arabic"/>
          <w:rtl/>
        </w:rPr>
        <w:t xml:space="preserve">والثالث: ما قرره تقي الدين نفسه من أن العبد لا يستحق على الله شيئا بطاعته،&lt;فتاوى السبكي (٢/ ٥٢٢).&gt; وأن الإثابة تفضل بوعد، فلا يصح أن يوجبها العقل قبل الوعد.&lt;فتاوى السبكي (٢/ ٥٢٣).&gt;</w:t>
      </w:r>
    </w:p>
    <w:p>
      <w:pPr>
        <w:pStyle w:val="BodyText1"/>
      </w:pPr>
      <w:r>
        <w:rPr>
          <w:rFonts w:ascii="Traditional Arabic" w:hAnsi="Traditional Arabic" w:cs="Traditional Arabic" w:eastAsia="Traditional Arabic"/>
          <w:rtl/>
        </w:rPr>
        <w:t xml:space="preserve">#٥ هـ - أدلة المخالف والجواب عنها</w:t>
      </w:r>
    </w:p>
    <w:p>
      <w:pPr>
        <w:pStyle w:val="BodyText1"/>
      </w:pPr>
      <w:r>
        <w:rPr>
          <w:rFonts w:ascii="Traditional Arabic" w:hAnsi="Traditional Arabic" w:cs="Traditional Arabic" w:eastAsia="Traditional Arabic"/>
          <w:rtl/>
        </w:rPr>
        <w:t xml:space="preserve">وأدلة المخالف ثلاثة، ذكرها الرازي ورد عليها. الأول: "وجوب الشكر معلوم بالضرورة"، والجواب: "قلنا في حق من يسره الشكر ويسوءه الكفران أما في حق من لا يكون كذلك فلا نسلم".&lt;المحصول للرازي (١/ ١٥٦).&gt; والثاني: "ترجيح الطريق الآمن على المخوف من لوازم العقل"، والجواب: "قلنا نعم لكنا بينا أن كلا الطرفين مخوف فوجب التوقف".&lt;المحصول للرازي (١/ ١٥٦).&gt; والثالث: "إنه يفضي إلى إفحام الأنبياء"، والجواب: "قلنا العلم بوجوب الفكر والنظر ليس ضروريا بل نظريا".&lt;المحصول للرازي (١/ ١٥٦).&gt;</w:t>
      </w:r>
    </w:p>
    <w:p>
      <w:pPr>
        <w:pStyle w:val="BodyText1"/>
      </w:pPr>
      <w:r>
        <w:rPr>
          <w:rFonts w:ascii="Traditional Arabic" w:hAnsi="Traditional Arabic" w:cs="Traditional Arabic" w:eastAsia="Traditional Arabic"/>
          <w:rtl/>
        </w:rPr>
        <w:t xml:space="preserve">ودليل آخر ذكره الزمخشري في آية الإسراء، وهو أن الحجة لازمة لهم قبل بعثة الرسل لأن معهم أدلة العقل، وأجاب بقوله: "بعثة الرسل من جملة التنبيه على النظر والإيقاظ من رقدة الغفلة".&lt;الكشاف للزمخشري مع الانتصاف (٢/ ٦٥٣).&gt; وتعقبه ابن المنير بأن السؤال "إنما يتوجه على قدري يزعم أن العقل يرشد إلى وجوب النظر"، وأن السني "لا يتوجه عليه هذا السؤال، فإن العقل عنده شرط في وجوب عموم الأحكام، ولا تكليف عنده قبل ورود الشرائع وبعث الأنبياء".&lt;الانتصاف المطبوع بهامش الكشاف (٢/ ٦٥٣).&gt; وهذا النص يوافق عبارة تقي الدين: «العقل شرط في الوجوب»، وهو أقرب ما وقفت عليه لفظا إلى القاعدة.</w:t>
      </w:r>
    </w:p>
    <w:p>
      <w:pPr>
        <w:pStyle w:val="BodyText1"/>
      </w:pPr>
      <w:r>
        <w:rPr>
          <w:rFonts w:ascii="Traditional Arabic" w:hAnsi="Traditional Arabic" w:cs="Traditional Arabic" w:eastAsia="Traditional Arabic"/>
          <w:rtl/>
        </w:rPr>
        <w:t xml:space="preserve">#٥ و - تحرير نسبة المذاهب وتعقب ما يحتاج تعقبا</w:t>
      </w:r>
    </w:p>
    <w:p>
      <w:pPr>
        <w:pStyle w:val="BodyText1"/>
      </w:pPr>
      <w:r>
        <w:rPr>
          <w:rFonts w:ascii="Traditional Arabic" w:hAnsi="Traditional Arabic" w:cs="Traditional Arabic" w:eastAsia="Traditional Arabic"/>
          <w:rtl/>
        </w:rPr>
        <w:t xml:space="preserve">ويحتاج هنا إلى تعقب أمرين. الأول: نسبة القول بالوجوب العقلي إلى المعتزلة على الإطلاق، فقد قال الزركشي: "وليس مرادهم أن الأوصاف مستقلة بالأحكام، ولا أن العقل يوجب ويحرم"، ثم قال: "والأصوليون الناقلون لهذه المسألة قد أحالوا المعنى".&lt;البحر المحيط (١/ ١٩٠).&gt; وهذا تعقب من الزركشي يحتاج إلى مقابلة على كتب المعتزلة الأصلية، ولم أقف عليها في المكتبة التي بحثت فيها؛ يعرض على الدكتور.</w:t>
      </w:r>
    </w:p>
    <w:p>
      <w:pPr>
        <w:pStyle w:val="BodyText1"/>
      </w:pPr>
      <w:r>
        <w:rPr>
          <w:rFonts w:ascii="Traditional Arabic" w:hAnsi="Traditional Arabic" w:cs="Traditional Arabic" w:eastAsia="Traditional Arabic"/>
          <w:rtl/>
        </w:rPr>
        <w:t xml:space="preserve">والثاني: نسبة القول الثالث إلى أبي حنيفة. فقد قال الزركشي في القول الثالث إنه ذكره "أسعد بن علي الزنجاني من أصحابنا، وأبو الخطاب من الحنابلة، وذكره الحنفية وحكوه عن أبي حنيفة نصا".&lt;البحر المحيط (١/ ١٩١).&gt; ولم أقف على أصل الرواية عن أبي حنيفة في كتب الحنفية المتقدمة، فأذكرها بعبارة الزركشي. يعرض على الدكتور.</w:t>
      </w:r>
    </w:p>
    <w:p>
      <w:pPr>
        <w:pStyle w:val="BodyText1"/>
      </w:pPr>
      <w:r>
        <w:rPr>
          <w:rFonts w:ascii="Traditional Arabic" w:hAnsi="Traditional Arabic" w:cs="Traditional Arabic" w:eastAsia="Traditional Arabic"/>
          <w:rtl/>
        </w:rPr>
        <w:t xml:space="preserve">#٥ ز - ما ألحق بالمسألة وليس منها</w:t>
      </w:r>
    </w:p>
    <w:p>
      <w:pPr>
        <w:pStyle w:val="BodyText1"/>
      </w:pPr>
      <w:r>
        <w:rPr>
          <w:rFonts w:ascii="Traditional Arabic" w:hAnsi="Traditional Arabic" w:cs="Traditional Arabic" w:eastAsia="Traditional Arabic"/>
          <w:rtl/>
        </w:rPr>
        <w:t xml:space="preserve">وقد ألحق بالمسألة بحث وجوب الإثابة على الله. وهو ما ناقشه تقي الدين في الفتاوى، لكنه من باب الوجوب على الله لا الوجوب على العبد، وإن اتحد مأخذه، وهو أن العقل لا يوجب.&lt;فتاوى السبكي (٢/ ٥٢٢).&gt; وألحق بها كذلك بحث وجوب النظر، وقد أجاب عنه الرازي بما تقدم.&lt;المحصول للرازي (١/ ١٥٦).&gt;</w:t>
      </w:r>
    </w:p>
    <w:p>
      <w:pPr>
        <w:pStyle w:val="BodyText1"/>
      </w:pPr>
      <w:r>
        <w:rPr>
          <w:rFonts w:ascii="Traditional Arabic" w:hAnsi="Traditional Arabic" w:cs="Traditional Arabic" w:eastAsia="Traditional Arabic"/>
          <w:rtl/>
        </w:rPr>
        <w:t xml:space="preserve">#٤ رابعا: وجه استنباط السبكي</w:t>
      </w:r>
    </w:p>
    <w:p>
      <w:pPr>
        <w:pStyle w:val="BodyText1"/>
      </w:pPr>
      <w:r>
        <w:rPr>
          <w:rFonts w:ascii="Traditional Arabic" w:hAnsi="Traditional Arabic" w:cs="Traditional Arabic" w:eastAsia="Traditional Arabic"/>
          <w:rtl/>
        </w:rPr>
        <w:t xml:space="preserve">#٥ السياق</w:t>
      </w:r>
    </w:p>
    <w:p>
      <w:pPr>
        <w:pStyle w:val="BodyText1"/>
      </w:pPr>
      <w:r>
        <w:rPr>
          <w:rFonts w:ascii="Traditional Arabic" w:hAnsi="Traditional Arabic" w:cs="Traditional Arabic" w:eastAsia="Traditional Arabic"/>
          <w:rtl/>
        </w:rPr>
        <w:t xml:space="preserve">وللنصوص أربعة سياقات مختلفة. فنص الإبهاج جاء في مسألة ما لا يتم الواجب إلا به، فهو تقسيم لما يتوقف عليه الوجوب، والعقل فيه مثال. ونص الفتاوى (٢/ ٥٢٢) جاء في مناظرة في مجلس. ونص أسئلة طرابلس جاء في جواب عن عموم الرسالة. ونصه في الاستحالة جاء في تفسير آية. فالقاعدة لم تقصد لذاتها في أي منها، وإنما استنبطتها من اجتماعها.</w:t>
      </w:r>
    </w:p>
    <w:p>
      <w:pPr>
        <w:pStyle w:val="BodyText1"/>
      </w:pPr>
      <w:r>
        <w:rPr>
          <w:rFonts w:ascii="Traditional Arabic" w:hAnsi="Traditional Arabic" w:cs="Traditional Arabic" w:eastAsia="Traditional Arabic"/>
          <w:rtl/>
        </w:rPr>
        <w:t xml:space="preserve">#٥ المسلك الأول: تصنيف العقل في شروط الوجوب</w:t>
      </w:r>
    </w:p>
    <w:p>
      <w:pPr>
        <w:pStyle w:val="BodyText1"/>
      </w:pPr>
      <w:r>
        <w:rPr>
          <w:rFonts w:ascii="Traditional Arabic" w:hAnsi="Traditional Arabic" w:cs="Traditional Arabic" w:eastAsia="Traditional Arabic"/>
          <w:rtl/>
        </w:rPr>
        <w:t xml:space="preserve">وأول المسالك أنه جعل العقل في تقسيم ما يتوقف عليه الفعل من فعل الله، وجعله مما يتوقف عليه الوجوب، فقال: "كالعقل وسلامة الأعضاء التي بها الفعل".&lt;الإبهاج (٢/ ٣٠٢).&gt; ووجه الاستنباط أن هذا التصنيف يجعل العقل شرطا لا سببا؛ لأن السبب يوجب والشرط يتوقف عليه الوجوب. وقد فرق بينه وبين القدرة والداعية، فجعلهما لا يتوقف عليهما الوجوب.&lt;الإبهاج (٢/ ٣٠٢).&gt; وهذا موضع الدقة في كلامه: أنه ميز بين ما هو من فعل الله ويتوقف عليه الوجوب كالعقل، وما هو من فعل الله ولا يتوقف عليه الوجوب كقدرة العبد وداعيته. وأما قوله إنه رأى "جماعة خبطوا في ذلك" فسياقه في التمثيل للقدرة والداعية، ولم يتبين لي أنه يريد به العقل؛ فلا أبني عليه.&lt;الإبهاج (٢/ ٣٠٢).&gt;</w:t>
      </w:r>
    </w:p>
    <w:p>
      <w:pPr>
        <w:pStyle w:val="BodyText1"/>
      </w:pPr>
      <w:r>
        <w:rPr>
          <w:rFonts w:ascii="Traditional Arabic" w:hAnsi="Traditional Arabic" w:cs="Traditional Arabic" w:eastAsia="Traditional Arabic"/>
          <w:rtl/>
        </w:rPr>
        <w:t xml:space="preserve">#٥ المسلك الثاني: إنكار الوجوب العقلي مع إثبات الوقوع بالوعد</w:t>
      </w:r>
    </w:p>
    <w:p>
      <w:pPr>
        <w:pStyle w:val="BodyText1"/>
      </w:pPr>
      <w:r>
        <w:rPr>
          <w:rFonts w:ascii="Traditional Arabic" w:hAnsi="Traditional Arabic" w:cs="Traditional Arabic" w:eastAsia="Traditional Arabic"/>
          <w:rtl/>
        </w:rPr>
        <w:t xml:space="preserve">وثانيها ما في الفتاوى (٢/ ٥٢٢ - ٥٢٣): أنه لم يكتف بإنكار الوجوب العقلي، بل بين أن ما يقول به الخصم من الوجوب واقع بغير الوجه الذي ادعاه. فهو واقع بالوعد، لا بالعقل. فقال: "فبعد الوعد نحن نقول: إنه واقع ولا بد".&lt;فتاوى السبكي (٢/ ٥٢٣).&gt; فالوجوب بعد الوعد ثابت، ولكن مستنده الوعد وهو خطاب شرعي. وبهذا يتحصل أن الخلاف بينه وبين الخصم في المستند لا في الوقوع، وهو معنى قوله: "إن النزاع بيننا وبين الخصم إنما هو في الوجوب العقلي".&lt;فتاوى السبكي (٢/ ٥٢٢).&gt;</w:t>
      </w:r>
    </w:p>
    <w:p>
      <w:pPr>
        <w:pStyle w:val="BodyText1"/>
      </w:pPr>
      <w:r>
        <w:rPr>
          <w:rFonts w:ascii="Traditional Arabic" w:hAnsi="Traditional Arabic" w:cs="Traditional Arabic" w:eastAsia="Traditional Arabic"/>
          <w:rtl/>
        </w:rPr>
        <w:t xml:space="preserve">#٥ المسلك الثالث: توقف التكليف على الرسول أو ما يقوم مقامه</w:t>
      </w:r>
    </w:p>
    <w:p>
      <w:pPr>
        <w:pStyle w:val="BodyText1"/>
      </w:pPr>
      <w:r>
        <w:rPr>
          <w:rFonts w:ascii="Traditional Arabic" w:hAnsi="Traditional Arabic" w:cs="Traditional Arabic" w:eastAsia="Traditional Arabic"/>
          <w:rtl/>
        </w:rPr>
        <w:t xml:space="preserve">وثالثها ما في جواب أسئلة طرابلس: أنه جعل التكليف موقوفا على الرسول في الأمم التي فيها الرسل، ثم عدد ما يقوم مقام الرسول فيما سواها. والذي يظهر - والله أعلم - أن تقييده قيام العقل مقام الرسول بقوله «عند من يثبت الأحكام بالعقل» يدل على أنه لا يقول به لنفسه، وأن مخرجه هو «سماع كلام الله أو خلق علم».&lt;فتاوى السبكي (٢/ ٦٢٠ - ٦٢١).&gt; ويؤيده ختم الجواب بأن المعتزلة هم الذين "يكتفون" بالدليل العقلي.&lt;فتاوى السبكي (٢/ ٦٢٥).&gt;</w:t>
      </w:r>
    </w:p>
    <w:p>
      <w:pPr>
        <w:pStyle w:val="BodyText1"/>
      </w:pPr>
      <w:r>
        <w:rPr>
          <w:rFonts w:ascii="Traditional Arabic" w:hAnsi="Traditional Arabic" w:cs="Traditional Arabic" w:eastAsia="Traditional Arabic"/>
          <w:rtl/>
        </w:rPr>
        <w:t xml:space="preserve">#٥ المسلك الرابع: العقل مانع لا موجب</w:t>
      </w:r>
    </w:p>
    <w:p>
      <w:pPr>
        <w:pStyle w:val="BodyText1"/>
      </w:pPr>
      <w:r>
        <w:rPr>
          <w:rFonts w:ascii="Traditional Arabic" w:hAnsi="Traditional Arabic" w:cs="Traditional Arabic" w:eastAsia="Traditional Arabic"/>
          <w:rtl/>
        </w:rPr>
        <w:t xml:space="preserve">ورابعها أنه جعل العقل مانعا لا موجبا؛ فما استحال فيه استحال في الشرع، والشرع لا يأتي بالمستحيلات.&lt;فتاوى السبكي (١/ ٢١).&gt; وفي هذا إثبات لدور العقل مع نفي الإيجاب عنه؛ فالعقل يحكم بالامتناع، ولا يحكم بالوجوب. وهو ما يفسر عبارة الزركشي: "فالمراد به أن العقل مدرك للحكم، لا أنه حاكم".&lt;البحر المحيط (١/ ١٩٣).&gt;</w:t>
      </w:r>
    </w:p>
    <w:p>
      <w:pPr>
        <w:pStyle w:val="BodyText1"/>
      </w:pPr>
      <w:r>
        <w:rPr>
          <w:rFonts w:ascii="Traditional Arabic" w:hAnsi="Traditional Arabic" w:cs="Traditional Arabic" w:eastAsia="Traditional Arabic"/>
          <w:rtl/>
        </w:rPr>
        <w:t xml:space="preserve">#٥ تحرير مأخذ المخالف</w:t>
      </w:r>
    </w:p>
    <w:p>
      <w:pPr>
        <w:pStyle w:val="BodyText1"/>
      </w:pPr>
      <w:r>
        <w:rPr>
          <w:rFonts w:ascii="Traditional Arabic" w:hAnsi="Traditional Arabic" w:cs="Traditional Arabic" w:eastAsia="Traditional Arabic"/>
          <w:rtl/>
        </w:rPr>
        <w:t xml:space="preserve">ومأخذ المخالف أن العقل يدرك صفة الفعل، فإذا أدركها استلزم ذلك الوجوب؛ فإن الحكمة تقتضي أن يثيب الله المطيع. وقد ذكر الزركشي مأخذهم فقال: إنهم يرون "أن العقل أدرك أن الله تعالى يجب له بحكمته البالغة أن لا يدع مصلحة في وقت ما إلا أوجبها وأثاب عليها".&lt;البحر المحيط (١/ ١٩٠).&gt; وجواب تقي الدين عنه في الفتاوى أن هذه الدعوى هي في الوجوب العقلي نفسه، وهو ما ينكره، وأنه لا يلزم من الإثابة وعدمها نقص في كماله.&lt;فتاوى السبكي (٢/ ٥٢٢).&gt;</w:t>
      </w:r>
    </w:p>
    <w:p>
      <w:pPr>
        <w:pStyle w:val="BodyText1"/>
      </w:pPr>
      <w:r>
        <w:rPr>
          <w:rFonts w:ascii="Traditional Arabic" w:hAnsi="Traditional Arabic" w:cs="Traditional Arabic" w:eastAsia="Traditional Arabic"/>
          <w:rtl/>
        </w:rPr>
        <w:t xml:space="preserve">#٥ ما سبقه إليه غيره وما زاده</w:t>
      </w:r>
    </w:p>
    <w:p>
      <w:pPr>
        <w:pStyle w:val="BodyText1"/>
      </w:pPr>
      <w:r>
        <w:rPr>
          <w:rFonts w:ascii="Traditional Arabic" w:hAnsi="Traditional Arabic" w:cs="Traditional Arabic" w:eastAsia="Traditional Arabic"/>
          <w:rtl/>
        </w:rPr>
        <w:t xml:space="preserve">أما ما سبقه إليه غيره فقول الأشاعرة بأن العقل لا يوجب شكر المنعم، كما نقله الغزالي والآمدي.&lt;المستصفى (ص: ٤٥).&gt; وأما ما زاده فيما وقفت عليه: تصنيف العقل في شروط الوجوب من فعل الله في الإبهاج، وحجة «قبل الوعد فلا وعد فلا خلف فلا نقص» في الفتاوى. ولم أقف على من نص على هذين بلفظهما قبله، لكن قول ابن المنير: "فإن العقل عنده شرط في وجوب عموم الأحكام" قريب من الأول،&lt;الانتصاف المطبوع بهامش الكشاف (٢/ ٦٥٣).&gt; وهو متقدم على تقي الدين بوفاته (سنة ٦٨٣ كما في بيانات الكتاب في تراث)، فهو أسبق منه لفظا. يعرض على الدكتور.</w:t>
      </w:r>
    </w:p>
    <w:p>
      <w:pPr>
        <w:pStyle w:val="BodyText1"/>
      </w:pPr>
      <w:r>
        <w:rPr>
          <w:rFonts w:ascii="Traditional Arabic" w:hAnsi="Traditional Arabic" w:cs="Traditional Arabic" w:eastAsia="Traditional Arabic"/>
          <w:rtl/>
        </w:rPr>
        <w:t xml:space="preserve">#٤ خامسا: تصريحه في مصنفاته الأخرى</w:t>
      </w:r>
    </w:p>
    <w:p>
      <w:pPr>
        <w:pStyle w:val="BodyText1"/>
      </w:pPr>
      <w:r>
        <w:rPr>
          <w:rFonts w:ascii="Traditional Arabic" w:hAnsi="Traditional Arabic" w:cs="Traditional Arabic" w:eastAsia="Traditional Arabic"/>
          <w:rtl/>
        </w:rPr>
        <w:t xml:space="preserve">والتصريح في مصنفاته على أربعة أوجه. الأول: الإبهاج (٢/ ٣٠٢)، وقد تقدم. والثاني: الفتاوى (٢/ ٥٢٢ - ٥٢٣، ٦٢٠ - ٦٢٥، ١/ ٢١، ١/ ١٩٤، ١/ ٢٠٩)، وقد تقدمت. والثالث: التكملة، وفيها قوله: "والأصل أن لا حكم قبل الشرع".&lt;تكملة المجموع للسبكي، قطعة جديدة (٣/ ٣٤٥).&gt; وهو أصل يتصل بالمسألة؛ لأن من لا يوجب بالعقل لا يثبت حكما قبل الشرع. والرابع: إبراز الحكم من حديث رفع القلم، وفيه: "ولا يثبت شيء من الأحكام الشرعية، وحكمنا بذلك حكم عقلي لا شرعي".&lt;إبراز الحكم من حديث رفع القلم لتقي الدين السبكي (١/ ٦٠).&gt; وفيه أن حكم العقل هنا عدمي، يعني نفي الحكم الشرعي لا إثباته.</w:t>
      </w:r>
    </w:p>
    <w:p>
      <w:pPr>
        <w:pStyle w:val="BodyText1"/>
      </w:pPr>
      <w:r>
        <w:rPr>
          <w:rFonts w:ascii="Traditional Arabic" w:hAnsi="Traditional Arabic" w:cs="Traditional Arabic" w:eastAsia="Traditional Arabic"/>
          <w:rtl/>
        </w:rPr>
        <w:t xml:space="preserve">وأما ما نقله عنه المتأخرون فقد بحثت في البحر المحيط بعبارة «قال الشيخ تقي الدين السبكي العقل شرط الوجوب» فلم أقف على شيء.</w:t>
      </w:r>
    </w:p>
    <w:p>
      <w:pPr>
        <w:pStyle w:val="BodyText1"/>
      </w:pPr>
      <w:r>
        <w:rPr>
          <w:rFonts w:ascii="Traditional Arabic" w:hAnsi="Traditional Arabic" w:cs="Traditional Arabic" w:eastAsia="Traditional Arabic"/>
          <w:rtl/>
        </w:rPr>
        <w:t xml:space="preserve">#٤ سادسا: الترجيح وثمرة القاعدة</w:t>
      </w:r>
    </w:p>
    <w:p>
      <w:pPr>
        <w:pStyle w:val="BodyText1"/>
      </w:pPr>
      <w:r>
        <w:rPr>
          <w:rFonts w:ascii="Traditional Arabic" w:hAnsi="Traditional Arabic" w:cs="Traditional Arabic" w:eastAsia="Traditional Arabic"/>
          <w:rtl/>
        </w:rPr>
        <w:t xml:space="preserve">#٥ الترجيح</w:t>
      </w:r>
    </w:p>
    <w:p>
      <w:pPr>
        <w:pStyle w:val="BodyText1"/>
      </w:pPr>
      <w:r>
        <w:rPr>
          <w:rFonts w:ascii="Traditional Arabic" w:hAnsi="Traditional Arabic" w:cs="Traditional Arabic" w:eastAsia="Traditional Arabic"/>
          <w:rtl/>
        </w:rPr>
        <w:t xml:space="preserve">والذي يترجح - والله أعلم - أن القاعدة صحيحة بالصياغة التي صغتها على القولين الأول والثالث، لأن القولين يتفقان على أن الوجوب الذي هو متعلق الثواب والعقاب لا يثبت بالعقل وحده. وبيانه أن ابن القيم - وهو من القائلين بالوسط - صرح بأن الوجوب والتحريم المتعلقين بالثواب والعقاب بدون الشرع ممتنع،&lt;مفتاح دار السعادة (٢/ ١١٣).&gt; وأن ابن تيمية قال إن الله لا يعذب إلا بعد الرسول.&lt;درء تعارض العقل والنقل (٨/ ٤٩٢).&gt; فلا يبقى الخلاف الحقيقي إلا في القول الثاني، وهو أن العقل كاف في الثواب والعقاب، وهو الذي ردت عليه الآيات والحجج المتقدمة. وأما ما بينه الوسط والأول من خلاف في وصف الفعل فلا يتعلق بالقاعدة.</w:t>
      </w:r>
    </w:p>
    <w:p>
      <w:pPr>
        <w:pStyle w:val="BodyText1"/>
      </w:pPr>
      <w:r>
        <w:rPr>
          <w:rFonts w:ascii="Traditional Arabic" w:hAnsi="Traditional Arabic" w:cs="Traditional Arabic" w:eastAsia="Traditional Arabic"/>
          <w:rtl/>
        </w:rPr>
        <w:t xml:space="preserve">وأما عبارة المطلب «مجرد العقل لا يكفي في الوجوب» فهي موافقة لنص ابن المنير: "إذ العقل كاف عندهم في إيجاب المعرفة"،&lt;الانتصاف المطبوع بهامش الكشاف (٢/ ٦٥٣).&gt; وهي في المعنى ما أثبته تقي الدين: العقل شرط، لا موجب.</w:t>
      </w:r>
    </w:p>
    <w:p>
      <w:pPr>
        <w:pStyle w:val="BodyText1"/>
      </w:pPr>
      <w:r>
        <w:rPr>
          <w:rFonts w:ascii="Traditional Arabic" w:hAnsi="Traditional Arabic" w:cs="Traditional Arabic" w:eastAsia="Traditional Arabic"/>
          <w:rtl/>
        </w:rPr>
        <w:t xml:space="preserve">#٥ ثمرة القاعدة في المسألة المستنبط منها</w:t>
      </w:r>
    </w:p>
    <w:p>
      <w:pPr>
        <w:pStyle w:val="BodyText1"/>
      </w:pPr>
      <w:r>
        <w:rPr>
          <w:rFonts w:ascii="Traditional Arabic" w:hAnsi="Traditional Arabic" w:cs="Traditional Arabic" w:eastAsia="Traditional Arabic"/>
          <w:rtl/>
        </w:rPr>
        <w:t xml:space="preserve">وثمرة القاعدة في نص الفتاوى أنه يجاب بها عن استدلال القاضي بالآية على وجوب توفية الأجور: فإن الوجوب العقلي لا يثبت، والإثابة تفضل بوعد.&lt;فتاوى السبكي (٢/ ٥٢٢).&gt; وثمرتها في جواب أسئلة طرابلس أن تكليف إبليس قبل مجيء رسول يخرج على غير العقل: كسماع كلام الله أو خلق علم، فلا يتعين القول بأن العقل هو مستند تكليفه.&lt;فتاوى السبكي (٢/ ٦٢٠ - ٦٢١).&gt;</w:t>
      </w:r>
    </w:p>
    <w:p>
      <w:pPr>
        <w:pStyle w:val="BodyText1"/>
      </w:pPr>
      <w:r>
        <w:rPr>
          <w:rFonts w:ascii="Traditional Arabic" w:hAnsi="Traditional Arabic" w:cs="Traditional Arabic" w:eastAsia="Traditional Arabic"/>
          <w:rtl/>
        </w:rPr>
        <w:t xml:space="preserve">#٥ ثمراتها الأخرى</w:t>
      </w:r>
    </w:p>
    <w:p>
      <w:pPr>
        <w:pStyle w:val="BodyText1"/>
      </w:pPr>
      <w:r>
        <w:rPr>
          <w:rFonts w:ascii="Traditional Arabic" w:hAnsi="Traditional Arabic" w:cs="Traditional Arabic" w:eastAsia="Traditional Arabic"/>
          <w:rtl/>
        </w:rPr>
        <w:t xml:space="preserve">ولها ثمرات أخرى. الأولى: أن الخطاب لا يتوجه إلى من لا عقل له، فقد قال تقي الدين: "ولا شك أن المخاطب بهما شرطه الفهم".&lt;فتاوى السبكي (١/ ١٩٤).&gt; والثانية: أن الأصل عدم الحكم قبل الشرع، وهو ما قرره في التكملة.&lt;تكملة المجموع للسبكي، قطعة جديدة (٣/ ٣٤٥).&gt; والثالثة: أن ما دل العقل القطعي على استحالته لا تقبل الشهادة به؛ فقد قال في الشهادة برؤية الهلال حيث دل الحساب القطعي على استحالتها: "ولو شهد به شاهدان لم تقبل شهادتهما لأن الحساب قطعي والشهادة والخبر ظنيان".&lt;فتاوى السبكي (١/ ٢٠٩).&gt;</w:t>
      </w:r>
    </w:p>
    <w:sectPr>
      <w:footerReference w:type="default" r:id="rIdFooter"/>
      <w:footnotePr>
        <w:numFmt w:val="hindiNumbers"/>
      </w:footnotePr>
      <w:pgSz w:w="11906" w:h="16838"/>
      <w:pgMar w:top="1417" w:right="1417" w:bottom="1417" w:left="1417" w:header="709" w:footer="709" w:gutter="0"/>
      <w:pgNumType w:fmt="hindiNumbers"/>
      <w:bidi/>
    </w:sectPr>
  </w:body>
</w:document>
</file>

<file path=word/footer1.xml><?xml version="1.0" encoding="utf-8"?>
<w:ftr xmlns:w="http://schemas.openxmlformats.org/wordprocessingml/2006/main" xmlns:r="http://schemas.openxmlformats.org/officeDocument/2006/relationships">
  <w:p>
    <w:pPr>
      <w:pStyle w:val="Footer"/>
      <w:bidi/>
      <w:jc w:val="center"/>
    </w:pPr>
    <w:r>
      <w:rPr>
        <w:rFonts w:ascii="Traditional Arabic" w:hAnsi="Traditional Arabic" w:cs="Traditional Arabic" w:eastAsia="Traditional Arabic"/>
        <w:rtl/>
      </w:rPr>
      <w:fldChar w:fldCharType="begin"/>
    </w:r>
    <w:r>
      <w:rPr>
        <w:rFonts w:ascii="Traditional Arabic" w:hAnsi="Traditional Arabic" w:cs="Traditional Arabic" w:eastAsia="Traditional Arabic"/>
        <w:rtl/>
      </w:rPr>
      <w:instrText xml:space="preserve"> PAGE </w:instrText>
    </w:r>
    <w:r>
      <w:rPr>
        <w:rFonts w:ascii="Traditional Arabic" w:hAnsi="Traditional Arabic" w:cs="Traditional Arabic" w:eastAsia="Traditional Arabic"/>
        <w:rtl/>
      </w:rPr>
      <w:fldChar w:fldCharType="separate"/>
    </w:r>
    <w:r>
      <w:rPr>
        <w:rFonts w:ascii="Traditional Arabic" w:hAnsi="Traditional Arabic" w:cs="Traditional Arabic" w:eastAsia="Traditional Arabic"/>
        <w:rtl/>
      </w:rPr>
      <w:t>١</w:t>
    </w:r>
    <w:r>
      <w:rPr>
        <w:rFonts w:ascii="Traditional Arabic" w:hAnsi="Traditional Arabic" w:cs="Traditional Arabic" w:eastAsia="Traditional Arabic"/>
        <w:rtl/>
      </w:rPr>
      <w:fldChar w:fldCharType="end"/>
    </w:r>
  </w:p>
</w:ftr>
</file>

<file path=word/settings.xml><?xml version="1.0" encoding="utf-8"?>
<w:settings xmlns:w="http://schemas.openxmlformats.org/wordprocessingml/2006/main" xmlns:r="http://schemas.openxmlformats.org/officeDocument/2006/relationships">
  <w:zoom w:percent="100"/>
  <w:defaultTabStop w:val="720"/>
  <w:characterSpacingControl w:val="doNotCompress"/>
  <w:themeFontLang w:val="en-US" w:bidi="ar-SA"/>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raditional Arabic" w:hAnsi="Traditional Arabic" w:cs="Traditional Arabic" w:eastAsia="Traditional Arabic"/>
        <w:sz w:val="36"/>
        <w:szCs w:val="36"/>
        <w:lang w:val="ar-SA" w:bidi="ar-SA"/>
      </w:rPr>
    </w:rPrDefault>
    <w:pPrDefault>
      <w:pPr>
        <w:bidi/>
        <w:spacing w:after="160" w:line="240" w:lineRule="auto"/>
        <w:jc w:val="both"/>
      </w:pPr>
    </w:pPrDefault>
  </w:docDefaults>
  <w:style w:type="paragraph" w:default="1" w:styleId="Normal">
    <w:name w:val="Normal"/>
    <w:qFormat/>
  </w:style>
  <w:style w:type="paragraph" w:styleId="BodyText1">
    <w:name w:val="Body Text 1"/>
    <w:basedOn w:val="Normal"/>
    <w:qFormat/>
    <w:pPr>
      <w:bidi/>
      <w:spacing w:after="160" w:line="240" w:lineRule="auto"/>
      <w:ind w:firstLine="283"/>
      <w:jc w:val="both"/>
    </w:pPr>
    <w:rPr>
      <w:rFonts w:ascii="Traditional Arabic" w:hAnsi="Traditional Arabic" w:cs="Traditional Arabic" w:eastAsia="Traditional Arabic"/>
      <w:sz w:val="36"/>
      <w:szCs w:val="36"/>
      <w:rtl/>
    </w:rPr>
  </w:style>
  <w:style w:type="paragraph" w:styleId="Heading1">
    <w:name w:val="heading 1"/>
    <w:basedOn w:val="Normal"/>
    <w:next w:val="BodyText1"/>
    <w:qFormat/>
    <w:pPr>
      <w:keepNext/>
      <w:bidi/>
      <w:spacing w:before="240" w:after="160" w:line="240" w:lineRule="auto"/>
      <w:jc w:val="both"/>
      <w:outlineLvl w:val="0"/>
    </w:pPr>
    <w:rPr>
      <w:rFonts w:ascii="Traditional Arabic" w:hAnsi="Traditional Arabic" w:cs="Traditional Arabic" w:eastAsia="Traditional Arabic"/>
      <w:b/>
      <w:bCs/>
      <w:sz w:val="44"/>
      <w:szCs w:val="44"/>
      <w:rtl/>
    </w:rPr>
  </w:style>
  <w:style w:type="paragraph" w:styleId="Heading2">
    <w:name w:val="heading 2"/>
    <w:basedOn w:val="Normal"/>
    <w:next w:val="BodyText1"/>
    <w:qFormat/>
    <w:pPr>
      <w:keepNext/>
      <w:bidi/>
      <w:spacing w:before="240" w:after="160" w:line="240" w:lineRule="auto"/>
      <w:jc w:val="both"/>
      <w:outlineLvl w:val="1"/>
    </w:pPr>
    <w:rPr>
      <w:rFonts w:ascii="Traditional Arabic" w:hAnsi="Traditional Arabic" w:cs="Traditional Arabic" w:eastAsia="Traditional Arabic"/>
      <w:b/>
      <w:bCs/>
      <w:sz w:val="40"/>
      <w:szCs w:val="40"/>
      <w:rtl/>
    </w:rPr>
  </w:style>
  <w:style w:type="paragraph" w:styleId="Heading3">
    <w:name w:val="heading 3"/>
    <w:basedOn w:val="Normal"/>
    <w:next w:val="BodyText1"/>
    <w:qFormat/>
    <w:pPr>
      <w:keepNext/>
      <w:bidi/>
      <w:spacing w:before="240" w:after="160" w:line="240" w:lineRule="auto"/>
      <w:jc w:val="both"/>
      <w:outlineLvl w:val="2"/>
    </w:pPr>
    <w:rPr>
      <w:rFonts w:ascii="Traditional Arabic" w:hAnsi="Traditional Arabic" w:cs="Traditional Arabic" w:eastAsia="Traditional Arabic"/>
      <w:b/>
      <w:bCs/>
      <w:sz w:val="44"/>
      <w:szCs w:val="44"/>
      <w:rtl/>
    </w:rPr>
  </w:style>
  <w:style w:type="paragraph" w:styleId="Heading4">
    <w:name w:val="heading 4"/>
    <w:basedOn w:val="Normal"/>
    <w:next w:val="BodyText1"/>
    <w:qFormat/>
    <w:pPr>
      <w:keepNext/>
      <w:bidi/>
      <w:spacing w:before="240" w:after="160" w:line="240" w:lineRule="auto"/>
      <w:jc w:val="both"/>
      <w:outlineLvl w:val="3"/>
    </w:pPr>
    <w:rPr>
      <w:rFonts w:ascii="Traditional Arabic" w:hAnsi="Traditional Arabic" w:cs="Traditional Arabic" w:eastAsia="Traditional Arabic"/>
      <w:b/>
      <w:bCs/>
      <w:sz w:val="40"/>
      <w:szCs w:val="40"/>
      <w:rtl/>
    </w:rPr>
  </w:style>
  <w:style w:type="paragraph" w:styleId="Heading5">
    <w:name w:val="heading 5"/>
    <w:basedOn w:val="Normal"/>
    <w:next w:val="BodyText1"/>
    <w:qFormat/>
    <w:pPr>
      <w:keepNext/>
      <w:bidi/>
      <w:spacing w:before="240" w:after="160" w:line="240" w:lineRule="auto"/>
      <w:jc w:val="both"/>
      <w:outlineLvl w:val="4"/>
    </w:pPr>
    <w:rPr>
      <w:rFonts w:ascii="Traditional Arabic" w:hAnsi="Traditional Arabic" w:cs="Traditional Arabic" w:eastAsia="Traditional Arabic"/>
      <w:b/>
      <w:bCs/>
      <w:sz w:val="36"/>
      <w:szCs w:val="36"/>
      <w:rtl/>
    </w:rPr>
  </w:style>
  <w:style w:type="paragraph" w:styleId="FootnoteText">
    <w:name w:val="footnote text"/>
    <w:basedOn w:val="Normal"/>
    <w:pPr>
      <w:bidi/>
      <w:spacing w:after="40" w:line="240" w:lineRule="auto"/>
      <w:jc w:val="both"/>
    </w:pPr>
    <w:rPr>
      <w:rFonts w:ascii="Traditional Arabic" w:hAnsi="Traditional Arabic" w:cs="Traditional Arabic" w:eastAsia="Traditional Arabic"/>
      <w:sz w:val="28"/>
      <w:szCs w:val="28"/>
    </w:rPr>
  </w:style>
  <w:style w:type="character" w:styleId="FootnoteReference">
    <w:name w:val="footnote reference"/>
    <w:rPr>
      <w:vertAlign w:val="superscript"/>
    </w:rPr>
  </w:style>
  <w:style w:type="paragraph" w:styleId="Footer">
    <w:name w:val="footer"/>
    <w:basedOn w:val="Normal"/>
    <w:pPr>
      <w:jc w:val="center"/>
    </w:p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 Id="rIdFooter" Type="http://schemas.openxmlformats.org/officeDocument/2006/relationships/footer" Target="footer1.xml"/></Relationships>
</file>

<file path=docProps/app.xml><?xml version="1.0" encoding="utf-8"?>
<Properties xmlns="http://schemas.openxmlformats.org/officeDocument/2006/extended-properties">
  <Application>build.py</Application>
</Properties>
</file>

<file path=docProps/core.xml><?xml version="1.0" encoding="utf-8"?>
<cp:coreProperties xmlns:cp="http://schemas.openxmlformats.org/package/2006/metadata/core-properties" xmlns:dc="http://purl.org/dc/elements/1.1/" xmlns:dcterms="http://purl.org/dc/terms/" xmlns:xsi="http://www.w3.org/2001/XMLSchema-instance">
  <dc:title>التحسين والتقبيح العقليان</dc:title>
  <dc:creator>عبدالله العزب</dc:creator>
  <cp:lastModifiedBy>عبدالله العزب</cp:lastModifiedBy>
  <dcterms:created xsi:type="dcterms:W3CDTF">2026-10-02T11:34:53Z</dcterms:created>
  <dcterms:modified xsi:type="dcterms:W3CDTF">2026-10-02T11:34:53Z</dcterms:modified>
</cp:coreProperties>
</file>