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BodyText1"/>
      </w:pPr>
      <w:r>
        <w:rPr>
          <w:rFonts w:ascii="Traditional Arabic" w:hAnsi="Traditional Arabic" w:cs="Traditional Arabic" w:eastAsia="Traditional Arabic"/>
          <w:rtl/>
        </w:rPr>
        <w:t xml:space="preserve">#٣ المطلب الثالث: الأحكام ثابتة قبل الشرع، قدم الحكم وانتفاء أثره قبل البعثة عند تقي الدين السبكي</w:t>
      </w:r>
    </w:p>
    <w:p>
      <w:pPr>
        <w:pStyle w:val="BodyText1"/>
      </w:pPr>
      <w:r>
        <w:rPr>
          <w:rFonts w:ascii="Traditional Arabic" w:hAnsi="Traditional Arabic" w:cs="Traditional Arabic" w:eastAsia="Traditional Arabic"/>
          <w:rtl/>
        </w:rPr>
        <w:t xml:space="preserve">هذه القاعدة بهذه الصيغة تحتمل معنيين متقابلين، ولا بد من تحريرهما قبل الخوض فيها: فهي تحتمل أن الحكم ثابت في الأزل قبل ورود الشرع، وتحتمل أن للأفعال أحكاما ثابتة قبل ورود الشرع تترتب عليها آثارها. وقد وقفت لتقي الدين السبكي&lt;هو علي بن عبد الكافي بن علي بن تمام السبكي، توفي ليلة الاثنين المسفرة عن ثالث جمادى الآخرة سنة ست وخمسين وسبعمائة. انظر: طبقات الشافعية الكبرى للسبكي (١٠/ ١٣٩، ٣١٦).&gt; على نصوص في ثلاثة من مصنفاته: إبراز الحكم من حديث رفع القلم، والفتاوى، وتكملة المجموع، وهي تثبت المعنى الأول وتنفي الثاني. وقصدت في هذا المطلب إلى استخراج ما صرح به، ثم بناء القاعدة عليه، ثم عرضها على أقوال الأصوليين والمتكلمين، مع تحرير محل النزاع قبل الخوض في الأقوال.&lt;الدر النظيم في تفسير القرآن العظيم لتقي الدين السبكي مذكور في ثبت مصنفاته وفيه أنه لم يكمل، وفي كشف الظنون أنه لم يكمله. انظر: طبقات الشافعية الكبرى (١٠/ ٣٠٧)، وكشف الظنون (١/ ٧٣٦). ولم أقف على نص الدر النظيم في مكتبة «تراث» التي كان البحث فيها، فاستعيض بنصوصه الأخرى. وأما رقم هذا المطلب فهو على ترتيب الطلب، ولم أرجع فيه إلى ملف الخطة. وأما صيغة القاعدة «الأحكام ثابتة قبل الشرع» فلم أقف عليها بلفظها عند تقي الدين السبكي، وقد حررتها من نصوصه على معنيين كما سيأتي؛ يعرض على الدكتور. ولم أترجم في هذا المطلب إلا للسبكيين، واكتفيت في غيرهم بتوثيق نصوصهم.&gt;</w:t>
      </w:r>
    </w:p>
    <w:p>
      <w:pPr>
        <w:pStyle w:val="BodyText1"/>
      </w:pPr>
      <w:r>
        <w:rPr>
          <w:rFonts w:ascii="Traditional Arabic" w:hAnsi="Traditional Arabic" w:cs="Traditional Arabic" w:eastAsia="Traditional Arabic"/>
          <w:rtl/>
        </w:rPr>
        <w:t xml:space="preserve">#٤ تمهيد</w:t>
      </w:r>
    </w:p>
    <w:p>
      <w:pPr>
        <w:pStyle w:val="BodyText1"/>
      </w:pPr>
      <w:r>
        <w:rPr>
          <w:rFonts w:ascii="Traditional Arabic" w:hAnsi="Traditional Arabic" w:cs="Traditional Arabic" w:eastAsia="Traditional Arabic"/>
          <w:rtl/>
        </w:rPr>
        <w:t xml:space="preserve">#٥ اللغة</w:t>
      </w:r>
    </w:p>
    <w:p>
      <w:pPr>
        <w:pStyle w:val="BodyText1"/>
      </w:pPr>
      <w:r>
        <w:rPr>
          <w:rFonts w:ascii="Traditional Arabic" w:hAnsi="Traditional Arabic" w:cs="Traditional Arabic" w:eastAsia="Traditional Arabic"/>
          <w:rtl/>
        </w:rPr>
        <w:t xml:space="preserve">أبدأ بالمفردات، فأقول: قال ابن فارس في الثبوت: "الثاء والباء والتاء كلمة واحدة، وهي دوام الشئ"، ثم قال: "يقال: ثبت ثباتا وثبوتا".&lt;مقاييس اللغة لابن فارس (١/ ٣٩٩).&gt; وقال في القدم: "القاف والدال والميم أصل صحيح يدل على سبق ورعف"، ثم قال: "يقولون: القدم: خلاف الحدوث. ويقال: شيء قديم، إذا كان زمانه سالفا".&lt;مقاييس اللغة (٥/ ٦٥).&gt; وقال في الحكم: "الحاء والكاف والميم أصل واحد، وهو المنع".&lt;مقاييس اللغة (٢/ ٩١).&gt;</w:t>
      </w:r>
    </w:p>
    <w:p>
      <w:pPr>
        <w:pStyle w:val="BodyText1"/>
      </w:pPr>
      <w:r>
        <w:rPr>
          <w:rFonts w:ascii="Traditional Arabic" w:hAnsi="Traditional Arabic" w:cs="Traditional Arabic" w:eastAsia="Traditional Arabic"/>
          <w:rtl/>
        </w:rPr>
        <w:t xml:space="preserve">ويظهر لي - والله أعلم - أن اللغة تبين وجه الاحتمال في العبارة: فالثبوت هو الدوام، والقدم هو السبق ضد الحدوث، فقولنا «ثابتة قبل الشرع» يحتمل أنها دائمة سابقة، أي قديمة، ولا يلزم منه أنها واقعة على أحد بأثر. ولم أقف على من استعمل هذا الاستدلال اللغوي في المسألة.</w:t>
      </w:r>
    </w:p>
    <w:p>
      <w:pPr>
        <w:pStyle w:val="BodyText1"/>
      </w:pPr>
      <w:r>
        <w:rPr>
          <w:rFonts w:ascii="Traditional Arabic" w:hAnsi="Traditional Arabic" w:cs="Traditional Arabic" w:eastAsia="Traditional Arabic"/>
          <w:rtl/>
        </w:rPr>
        <w:t xml:space="preserve">#٥ الاصطلاح</w:t>
      </w:r>
    </w:p>
    <w:p>
      <w:pPr>
        <w:pStyle w:val="BodyText1"/>
      </w:pPr>
      <w:r>
        <w:rPr>
          <w:rFonts w:ascii="Traditional Arabic" w:hAnsi="Traditional Arabic" w:cs="Traditional Arabic" w:eastAsia="Traditional Arabic"/>
          <w:rtl/>
        </w:rPr>
        <w:t xml:space="preserve">وأما الحكم في الاصطلاح عند الأشاعرة فقد قال الغزالي: "الحكم عندنا عبارة عن خطاب الشرع إذا تعلق بأفعال المكلفين"، ثم قال: "فإن لم يوجد هذا الخطاب من الشارع فلا حكم".&lt;المستصفى للغزالي (ص: ٤٥).&gt; وقال في موضع آخر: "والموجب للحكم كلام الله تعالى القديم".&lt;المستصفى (ص: ٩٩).&gt; فإنما يوصف بالحدوث تعلقه. وقد نقل أمير باد شاه اعتراض المعتزلة على هذا التعريف: "واعتراض المعتزلة على التعريف المذكور لمطلق الحكم بأن الخطاب قديم عندكم والحكم حادث"، وأجاب عنه بأنه "مدفوع بأن المراد أي بقولنا حرم بعد أن لم يكن حراما تعلق تحريمه القديم فالموصوف بالحدوث التعلق وهو أي التعلق حادث".&lt;تيسير التحرير لأمير باد شاه (٢/ ١٣١).&gt;</w:t>
      </w:r>
    </w:p>
    <w:p>
      <w:pPr>
        <w:pStyle w:val="BodyText1"/>
      </w:pPr>
      <w:r>
        <w:rPr>
          <w:rFonts w:ascii="Traditional Arabic" w:hAnsi="Traditional Arabic" w:cs="Traditional Arabic" w:eastAsia="Traditional Arabic"/>
          <w:rtl/>
        </w:rPr>
        <w:t xml:space="preserve">#٥ الفروق التي يقع فيها الخلط</w:t>
      </w:r>
    </w:p>
    <w:p>
      <w:pPr>
        <w:pStyle w:val="BodyText1"/>
      </w:pPr>
      <w:r>
        <w:rPr>
          <w:rFonts w:ascii="Traditional Arabic" w:hAnsi="Traditional Arabic" w:cs="Traditional Arabic" w:eastAsia="Traditional Arabic"/>
          <w:rtl/>
        </w:rPr>
        <w:t xml:space="preserve">وقد وقع الخلط في هذه المسألة في أربعة مواضع، أحتاج إلى تحريرها قبل الدخول في الأقوال.</w:t>
      </w:r>
    </w:p>
    <w:p>
      <w:pPr>
        <w:pStyle w:val="BodyText1"/>
      </w:pPr>
      <w:r>
        <w:rPr>
          <w:rFonts w:ascii="Traditional Arabic" w:hAnsi="Traditional Arabic" w:cs="Traditional Arabic" w:eastAsia="Traditional Arabic"/>
          <w:rtl/>
        </w:rPr>
        <w:t xml:space="preserve">الأول: الفرق بين قدم الحكم وقدم تعلقه. فقد قال الغزالي في خطاب المعدوم: "فكذلك المعنى القائم بذات الله تعالى الذي هو اقتضاء الطاعة من العباد قديم تعلق بعباده على تقدير وجودهم، فإذا وجدوا صاروا مأمورين بذلك الاقتضاء".&lt;المستصفى (ص: ٦٨).&gt; فقدم الحكم لا يلزم منه أن يكون المكلف مخاطبا قبل وجوده.</w:t>
      </w:r>
    </w:p>
    <w:p>
      <w:pPr>
        <w:pStyle w:val="BodyText1"/>
      </w:pPr>
      <w:r>
        <w:rPr>
          <w:rFonts w:ascii="Traditional Arabic" w:hAnsi="Traditional Arabic" w:cs="Traditional Arabic" w:eastAsia="Traditional Arabic"/>
          <w:rtl/>
        </w:rPr>
        <w:t xml:space="preserve">الثاني: الفرق بين التعلق الأول والتعلق الآخر. فقد قال أمير باد شاه: "وكل منهما قديم وعند بروز أثره في الوجود يحدث تعلق آخر".&lt;تيسير التحرير (٢/ ١٣٢).&gt; وقال في موضع قبله: "ولا استحالة في طلب كذا من المعدوم إذ لم يطلب منه في حال عدمه بل طلب منه أن يفعله بعد الوجود والاستعداد وحين يوجد ويتهيأ لفهمه يتعلق به تعلقا آخر".&lt;تيسير التحرير (٢/ ١٣١).&gt;</w:t>
      </w:r>
    </w:p>
    <w:p>
      <w:pPr>
        <w:pStyle w:val="BodyText1"/>
      </w:pPr>
      <w:r>
        <w:rPr>
          <w:rFonts w:ascii="Traditional Arabic" w:hAnsi="Traditional Arabic" w:cs="Traditional Arabic" w:eastAsia="Traditional Arabic"/>
          <w:rtl/>
        </w:rPr>
        <w:t xml:space="preserve">الثالث: الفرق بين انتفاء الحكم والتوقف فيه. وقد قال الرازي: "وهذا الوقف تارة يفسر بأنه لا حكم وهذا لا يكون وقفا بل قطعا بعدم الحكم وتارة بأنا لا ندري هل هناك حكم أم لا".&lt;المحصول للرازي (١/ ١٥٩).&gt;</w:t>
      </w:r>
    </w:p>
    <w:p>
      <w:pPr>
        <w:pStyle w:val="BodyText1"/>
      </w:pPr>
      <w:r>
        <w:rPr>
          <w:rFonts w:ascii="Traditional Arabic" w:hAnsi="Traditional Arabic" w:cs="Traditional Arabic" w:eastAsia="Traditional Arabic"/>
          <w:rtl/>
        </w:rPr>
        <w:t xml:space="preserve">الرابع: الفرق بين الحكم الشرعي والحكم العقلي بانتفاء الحكم. وهو ما نص عليه تقي الدين السبكي من أن حكمنا بانتفاء الحكم قبل الشرع حكم عقلي لا شرعي، كما سيأتي.</w:t>
      </w:r>
    </w:p>
    <w:p>
      <w:pPr>
        <w:pStyle w:val="BodyText1"/>
      </w:pPr>
      <w:r>
        <w:rPr>
          <w:rFonts w:ascii="Traditional Arabic" w:hAnsi="Traditional Arabic" w:cs="Traditional Arabic" w:eastAsia="Traditional Arabic"/>
          <w:rtl/>
        </w:rPr>
        <w:t xml:space="preserve">#٤ أولا: النص محل الاستنباط</w:t>
      </w:r>
    </w:p>
    <w:p>
      <w:pPr>
        <w:pStyle w:val="BodyText1"/>
      </w:pPr>
      <w:r>
        <w:rPr>
          <w:rFonts w:ascii="Traditional Arabic" w:hAnsi="Traditional Arabic" w:cs="Traditional Arabic" w:eastAsia="Traditional Arabic"/>
          <w:rtl/>
        </w:rPr>
        <w:t xml:space="preserve">#٥ نصوص تقي الدين السبكي في المسألة</w:t>
      </w:r>
    </w:p>
    <w:p>
      <w:pPr>
        <w:pStyle w:val="BodyText1"/>
      </w:pPr>
      <w:r>
        <w:rPr>
          <w:rFonts w:ascii="Traditional Arabic" w:hAnsi="Traditional Arabic" w:cs="Traditional Arabic" w:eastAsia="Traditional Arabic"/>
          <w:rtl/>
        </w:rPr>
        <w:t xml:space="preserve">تقدم أن الإبهاج ليس كله لتقي الدين؛ فقد قال التاج: "وقد وصل والدي الشيخ الإمام جزاه الله الخير إلى مسألة مقدمة الواجب، ونحن نتلوه"،&lt;الإبهاج (٢/ ٣٠١).&gt; ثم قال: "قلت: هذا ما وقف عنده والدي أطال الله عمره، ومن هنا أبتدئ".&lt;الإبهاج (٢/ ٣٠٣).&gt; فلا ينسب لتقي الدين ما بعد هذا الحد في الإبهاج، ومنه الكلام على حكم الأشياء قبل الشرع في (٢/ ٣٧٩ - ٣٨٠).</w:t>
      </w:r>
    </w:p>
    <w:p>
      <w:pPr>
        <w:pStyle w:val="BodyText1"/>
      </w:pPr>
      <w:r>
        <w:rPr>
          <w:rFonts w:ascii="Traditional Arabic" w:hAnsi="Traditional Arabic" w:cs="Traditional Arabic" w:eastAsia="Traditional Arabic"/>
          <w:rtl/>
        </w:rPr>
        <w:t xml:space="preserve">فالنص الأول في «إبراز الحكم من حديث رفع القلم»، وهو من مصنفاته المفردة، وفي «الوجه العاشر» منه، قال: "اتفق الفقهاء على أن النائم والصبي والمجنون يتعلق بهم خطاب الوضع من ضمان المتلفات وأروش الجنايات ونحوها، فليسوا بمنزلة البهيمة التي لم يتعلق بها حكم ألبتة، ولا بمنزلة الآدميين قبل البعثة؛ فإن الحكم لم يتعلق بهم أيضا ألبتة على المختار في أنه لا حكم قبل الشرع، والمختار فيه الجزم بعدم الحكم لا التوقف".&lt;إبراز الحكم من حديث رفع القلم لتقي الدين السبكي (١/ ٦٠).&gt; ثم قال: "ولا ينافي ذلك كون الحكم قديما، ولا كون تعلقه أيضا قديما عند من يقول بأن التعلق قديم، وهو المختار".&lt;إبراز الحكم (١/ ٦٠).&gt; ثم علل ذلك بقوله: "وإنما لم يقدح في ذلك؛ لأن المقصود هنا التعلق الذي يوجد أثره في المحكوم عليه، وذلك منتف قبل البعثة قطعا".&lt;إبراز الحكم (١/ ٦٠).&gt; ثم قال: "إذا عرفت هذا فانتفاؤه قبل البعثة عام في خطاب التكليف وخطاب الوضع جميعا، ولا يثبت شيء من الأحكام الشرعية، وحكمنا بذلك حكم عقلي لا شرعي".&lt;إبراز الحكم (١/ ٦٠).&gt;</w:t>
      </w:r>
    </w:p>
    <w:p>
      <w:pPr>
        <w:pStyle w:val="BodyText1"/>
      </w:pPr>
      <w:r>
        <w:rPr>
          <w:rFonts w:ascii="Traditional Arabic" w:hAnsi="Traditional Arabic" w:cs="Traditional Arabic" w:eastAsia="Traditional Arabic"/>
          <w:rtl/>
        </w:rPr>
        <w:t xml:space="preserve">ثم ذكر ما بعد البعثة، فقال: "أما بعد البعثة فقد عرفت أن خطاب الوضع ثابت في حق الجميع، وخطاب الندب ثابت في حق الصبي على الصحيح من مذاهب العلماء"، وأن الذي ينتفي في حقه "الوجوب والتحريم؛ لأن فيهما كلفة". ثم أورد سؤالا لم يجزم فيه، فقال: "وهل انتفاء ذلك في حقه لعدم الحكم كما قبل الشرع أو حكم من حكم الله تخفيفا عنه؟ لم أر من تكلم في ذلك، وللبحث فيه مجال".&lt;إبراز الحكم (١/ ٦٠).&gt; وقوله «وهو المختار» بعد «عند من يقول بأن التعلق قديم» يحتمل أن يعود إلى القول بقدم التعلق، وهو الأظهر عندي، ويحتمل أن يعود إلى غيره؛ فأثبته بلفظه ولا أبني عليه فوق ذلك. يعرض على الدكتور.</w:t>
      </w:r>
    </w:p>
    <w:p>
      <w:pPr>
        <w:pStyle w:val="BodyText1"/>
      </w:pPr>
      <w:r>
        <w:rPr>
          <w:rFonts w:ascii="Traditional Arabic" w:hAnsi="Traditional Arabic" w:cs="Traditional Arabic" w:eastAsia="Traditional Arabic"/>
          <w:rtl/>
        </w:rPr>
        <w:t xml:space="preserve">والنص الثاني في الفتاوى (١/ ٣٠)، في تفسير قوله تعالى {كتب عليكم إذا حضر أحدكم الموت}، حيث ذكر قول الأخفش في تقديم الكتابة، ثم قال: "ولك أن تخرج ذلك على خلاف في الأصول؛ فقول الأخفش يتخرج على أن التكليف أزلي، والقولان الآخران على أنه حادث أو تعلقه حادث، ويكون الحادث عند الشرط التعلق".&lt;فتاوى السبكي (١/ ٣٠).&gt;</w:t>
      </w:r>
    </w:p>
    <w:p>
      <w:pPr>
        <w:pStyle w:val="BodyText1"/>
      </w:pPr>
      <w:r>
        <w:rPr>
          <w:rFonts w:ascii="Traditional Arabic" w:hAnsi="Traditional Arabic" w:cs="Traditional Arabic" w:eastAsia="Traditional Arabic"/>
          <w:rtl/>
        </w:rPr>
        <w:t xml:space="preserve">والنص الثالث في تكملة المجموع، في الكلام على الخمر قبل تحريمها، قال: "واعلم أن الأدلة في حال الخمر قبل تحريمها متعارضة"، ثم ذكر دليل الإباحة ودعوى الغزالي أن "السكر لم يزل محرما في كل ملة"، وختم بقوله: "فإن ثبت أنها كانت مباحة ظهر الرد على صاحب الوجه المذكور، وإن ثبت أنها كانت باقية على حكم الأصل، والأصل أن لا حكم قبل الشرع، فيبقى النظر".&lt;تكملة المجموع للسبكي، قطعة جديدة (٣/ ٣٤٥).&gt;</w:t>
      </w:r>
    </w:p>
    <w:p>
      <w:pPr>
        <w:pStyle w:val="BodyText1"/>
      </w:pPr>
      <w:r>
        <w:rPr>
          <w:rFonts w:ascii="Traditional Arabic" w:hAnsi="Traditional Arabic" w:cs="Traditional Arabic" w:eastAsia="Traditional Arabic"/>
          <w:rtl/>
        </w:rPr>
        <w:t xml:space="preserve">والنص الرابع في الفتاوى (٢/ ٦٢٥)، في جواب أسئلة طرابلس: "وهذا كله على مذهبنا في أن الأحكام كلها أصولها وفروعها لا تثبت إلا بالشرع".&lt;فتاوى السبكي (٢/ ٦٢٥).&gt;</w:t>
      </w:r>
    </w:p>
    <w:p>
      <w:pPr>
        <w:pStyle w:val="BodyText1"/>
      </w:pPr>
      <w:r>
        <w:rPr>
          <w:rFonts w:ascii="Traditional Arabic" w:hAnsi="Traditional Arabic" w:cs="Traditional Arabic" w:eastAsia="Traditional Arabic"/>
          <w:rtl/>
        </w:rPr>
        <w:t xml:space="preserve">وقد اجتمعت هذه النصوص في ثلاثة مصنفات، وفيها صيغ مختلفة: الجزم بعدم الحكم قبل الشرع، وبقاء الأصل، وقدم الحكم، وتخريج الخلاف على قدم التكليف؛ وفي ذلك دليل على أن المسألة عنده قاعدة مطردة لا مسألة عارضة. ولم أقف عنده على لفظ «الأحكام ثابتة قبل الشرع»، وإنما هي صيغة المطلب.</w:t>
      </w:r>
    </w:p>
    <w:p>
      <w:pPr>
        <w:pStyle w:val="BodyText1"/>
      </w:pPr>
      <w:r>
        <w:rPr>
          <w:rFonts w:ascii="Traditional Arabic" w:hAnsi="Traditional Arabic" w:cs="Traditional Arabic" w:eastAsia="Traditional Arabic"/>
          <w:rtl/>
        </w:rPr>
        <w:t xml:space="preserve">#٥ تفكيك النص إلى عناصره</w:t>
      </w:r>
    </w:p>
    <w:p>
      <w:pPr>
        <w:pStyle w:val="BodyText1"/>
      </w:pPr>
      <w:r>
        <w:rPr>
          <w:rFonts w:ascii="Traditional Arabic" w:hAnsi="Traditional Arabic" w:cs="Traditional Arabic" w:eastAsia="Traditional Arabic"/>
          <w:rtl/>
        </w:rPr>
        <w:t xml:space="preserve">يتحصل من إبراز الحكم عشرة عناصر. (أ) أن الأصل في الآدميين قبل البعثة أن الحكم لم يتعلق بهم ألبتة. (ب) أن هذا هو المختار في أنه لا حكم قبل الشرع. (ج) أن المختار الجزم بعدم الحكم لا التوقف. (د) أن هذا لا ينافي قدم الحكم. (هـ) ولا قدم تعلقه عند من يقول بقدمه. (و) أن المقصود تعلق يوجد أثره في المحكوم عليه. (ز) أن هذا الأثر منتف قبل البعثة قطعا. (ح) أن انتفاءه عام في خطاب التكليف وخطاب الوضع. (ط) أن الحكم بالانتفاء حكم عقلي لا شرعي. (ي) أن الصبي والنائم والمجنون يثبت في حقهم خطاب الوضع بعد البعثة، فليسوا كالبهيمة ولا كالآدميين قبل البعثة.</w:t>
      </w:r>
    </w:p>
    <w:p>
      <w:pPr>
        <w:pStyle w:val="BodyText1"/>
      </w:pPr>
      <w:r>
        <w:rPr>
          <w:rFonts w:ascii="Traditional Arabic" w:hAnsi="Traditional Arabic" w:cs="Traditional Arabic" w:eastAsia="Traditional Arabic"/>
          <w:rtl/>
        </w:rPr>
        <w:t xml:space="preserve">#٤ ثانيا: صياغة القاعدة ومعناها</w:t>
      </w:r>
    </w:p>
    <w:p>
      <w:pPr>
        <w:pStyle w:val="BodyText1"/>
      </w:pPr>
      <w:r>
        <w:rPr>
          <w:rFonts w:ascii="Traditional Arabic" w:hAnsi="Traditional Arabic" w:cs="Traditional Arabic" w:eastAsia="Traditional Arabic"/>
          <w:rtl/>
        </w:rPr>
        <w:t xml:space="preserve">والقاعدة التي أصوغها من هذه النصوص هي: (الأحكام ثابتة قبل الشرع بقدم الحكم، منتفية بانتفاء تعلق يوجد أثره في المكلف، فلا حكم قبل الشرع).</w:t>
      </w:r>
    </w:p>
    <w:p>
      <w:pPr>
        <w:pStyle w:val="BodyText1"/>
      </w:pPr>
      <w:r>
        <w:rPr>
          <w:rFonts w:ascii="Traditional Arabic" w:hAnsi="Traditional Arabic" w:cs="Traditional Arabic" w:eastAsia="Traditional Arabic"/>
          <w:rtl/>
        </w:rPr>
        <w:t xml:space="preserve">ومعناها أن العبارة «ثابتة قبل الشرع» تصح عند تقي الدين السبكي على معنى القدم، لا على معنى الأثر. فالحكم قديم، وتعلقه قديم عند من يقول بقدم التعلق، لكن التعلق الذي يترتب عليه أثر في المحكوم عليه لا يوجد قبل البعثة. ولهذا قال: "ولا ينافي ذلك كون الحكم قديما".&lt;إبراز الحكم (١/ ٦٠).&gt; ولو قلنا إن الأحكام ثابتة قبل الشرع بمعنى أنها واقعة على المكلفين بآثارها لخالفنا نصه.</w:t>
      </w:r>
    </w:p>
    <w:p>
      <w:pPr>
        <w:pStyle w:val="BodyText1"/>
      </w:pPr>
      <w:r>
        <w:rPr>
          <w:rFonts w:ascii="Traditional Arabic" w:hAnsi="Traditional Arabic" w:cs="Traditional Arabic" w:eastAsia="Traditional Arabic"/>
          <w:rtl/>
        </w:rPr>
        <w:t xml:space="preserve">#٥ القواعد الأخص المتفرعة عن القاعدة</w:t>
      </w:r>
    </w:p>
    <w:p>
      <w:pPr>
        <w:pStyle w:val="BodyText1"/>
      </w:pPr>
      <w:r>
        <w:rPr>
          <w:rFonts w:ascii="Traditional Arabic" w:hAnsi="Traditional Arabic" w:cs="Traditional Arabic" w:eastAsia="Traditional Arabic"/>
          <w:rtl/>
        </w:rPr>
        <w:t xml:space="preserve">وتتفرع عنها قواعد أخص نص عليها. الأولى: (المختار في حكم ما قبل الشرع الجزم بعدم الحكم لا التوقف).&lt;إبراز الحكم (١/ ٦٠).&gt; والثانية: (انتفاء الحكم قبل البعثة عام في خطاب التكليف وخطاب الوضع).&lt;إبراز الحكم (١/ ٦٠).&gt; والثالثة: (الحكم بانتفاء الحكم قبل الشرع حكم عقلي لا شرعي).&lt;إبراز الحكم (١/ ٦٠).&gt; والرابعة: (الأصل أن لا حكم قبل الشرع، فتبقى الأفعال على الأصل).&lt;تكملة المجموع للسبكي، قطعة جديدة (٣/ ٣٤٥).&gt; والخامسة: (خطاب الوضع ثابت بعد البعثة في حق الصبي والنائم والمجنون).&lt;إبراز الحكم (١/ ٦٠).&gt;</w:t>
      </w:r>
    </w:p>
    <w:p>
      <w:pPr>
        <w:pStyle w:val="BodyText1"/>
      </w:pPr>
      <w:r>
        <w:rPr>
          <w:rFonts w:ascii="Traditional Arabic" w:hAnsi="Traditional Arabic" w:cs="Traditional Arabic" w:eastAsia="Traditional Arabic"/>
          <w:rtl/>
        </w:rPr>
        <w:t xml:space="preserve">#٤ ثالثا: تحرير محل النزاع والأقوال</w:t>
      </w:r>
    </w:p>
    <w:p>
      <w:pPr>
        <w:pStyle w:val="BodyText1"/>
      </w:pPr>
      <w:r>
        <w:rPr>
          <w:rFonts w:ascii="Traditional Arabic" w:hAnsi="Traditional Arabic" w:cs="Traditional Arabic" w:eastAsia="Traditional Arabic"/>
          <w:rtl/>
        </w:rPr>
        <w:t xml:space="preserve">#٥ أ - موضع الاتفاق</w:t>
      </w:r>
    </w:p>
    <w:p>
      <w:pPr>
        <w:pStyle w:val="BodyText1"/>
      </w:pPr>
      <w:r>
        <w:rPr>
          <w:rFonts w:ascii="Traditional Arabic" w:hAnsi="Traditional Arabic" w:cs="Traditional Arabic" w:eastAsia="Traditional Arabic"/>
          <w:rtl/>
        </w:rPr>
        <w:t xml:space="preserve">والذي يظهر أن الأشاعرة متفقون على أن الحكم لا يثبت على المكلف قبل ورود الشرع، وعلى أن الحكم - مع قدمه - لا يتعلق به إلا على تقدير وجوده. فقد قال الغزالي: "فإن لم يوجد هذا الخطاب من الشارع فلا حكم".&lt;المستصفى (ص: ٤٥).&gt; وقال الرازي: "لنا أن قبل الشرع ما ورد خطاب الشرع فوجب أن لا يثبت شئ من".&lt;المحصول للرازي (١/ ١٥٩).&gt;</w:t>
      </w:r>
    </w:p>
    <w:p>
      <w:pPr>
        <w:pStyle w:val="BodyText1"/>
      </w:pPr>
      <w:r>
        <w:rPr>
          <w:rFonts w:ascii="Traditional Arabic" w:hAnsi="Traditional Arabic" w:cs="Traditional Arabic" w:eastAsia="Traditional Arabic"/>
          <w:rtl/>
        </w:rPr>
        <w:t xml:space="preserve">#٥ ب - موضع النزاع</w:t>
      </w:r>
    </w:p>
    <w:p>
      <w:pPr>
        <w:pStyle w:val="BodyText1"/>
      </w:pPr>
      <w:r>
        <w:rPr>
          <w:rFonts w:ascii="Traditional Arabic" w:hAnsi="Traditional Arabic" w:cs="Traditional Arabic" w:eastAsia="Traditional Arabic"/>
          <w:rtl/>
        </w:rPr>
        <w:t xml:space="preserve">والنزاع في ثلاثة أمور. الأول: هل للأفعال حكم قبل الشرع بالعقل. الثاني: إذا كان الجواب بالنفي، فهل هو قطع بعدم الحكم أو توقف. الثالث: هل ينافي القول بعدم الحكم قبل الشرع قدم الحكم.</w:t>
      </w:r>
    </w:p>
    <w:p>
      <w:pPr>
        <w:pStyle w:val="BodyText1"/>
      </w:pPr>
      <w:r>
        <w:rPr>
          <w:rFonts w:ascii="Traditional Arabic" w:hAnsi="Traditional Arabic" w:cs="Traditional Arabic" w:eastAsia="Traditional Arabic"/>
          <w:rtl/>
        </w:rPr>
        <w:t xml:space="preserve">#٥ ج - الأقوال</w:t>
      </w:r>
    </w:p>
    <w:p>
      <w:pPr>
        <w:pStyle w:val="BodyText1"/>
      </w:pPr>
      <w:r>
        <w:rPr>
          <w:rFonts w:ascii="Traditional Arabic" w:hAnsi="Traditional Arabic" w:cs="Traditional Arabic" w:eastAsia="Traditional Arabic"/>
          <w:rtl/>
        </w:rPr>
        <w:t xml:space="preserve">والأقوال في الأمر الأول ثلاثة، وقد جمعها الرازي في «حكم الأشياء قبل الشرع». فقال: "فعند المعتزلة البصرية وطائفة من فقهاء الشافعية والحنفية أنها على الإباحة وعند المعتزلة البغدادية وطائفة من الإمامية وأبي علي بن أبي هريرة من فقهاء الشافعية أنها على الحظر"، ثم قال: "وعند أبي الحسن الأشعري وأبي بكر الصيرفي وطائفة من الفقهاء أنها على الوقف".&lt;المحصول للرازي (١/ ١٥٨ - ١٥٩).&gt;</w:t>
      </w:r>
    </w:p>
    <w:p>
      <w:pPr>
        <w:pStyle w:val="BodyText1"/>
      </w:pPr>
      <w:r>
        <w:rPr>
          <w:rFonts w:ascii="Traditional Arabic" w:hAnsi="Traditional Arabic" w:cs="Traditional Arabic" w:eastAsia="Traditional Arabic"/>
          <w:rtl/>
        </w:rPr>
        <w:t xml:space="preserve">وفي الأمر الثاني قولان: فالوقف تارة يفسر بأنه لا حكم، وتارة بأنه لا يدرى. وقال الزركشي: "وممن صرح بأن المراد بالوقف انتفاء الحكم لا التردد في أن الأمر ما هو أبو نصر بن القشيري، وأبو الفتح بن برهان"، ثم قال في الموضع نفسه: "القائلون بالوقف لم يريدوا به أن الوقف حكم ثابت ولكن عنوا به عدم الحكم".&lt;البحر المحيط في أصول الفقه للزركشي (١/ ٢٠٧).&gt; ونقل عن المازري قوله: "الراجح عندنا الوقف. ونعني به القطع على أن لا حكم لله سبحانه في حقنا".&lt;البحر المحيط (١/ ٢٠٩).&gt;</w:t>
      </w:r>
    </w:p>
    <w:p>
      <w:pPr>
        <w:pStyle w:val="BodyText1"/>
      </w:pPr>
      <w:r>
        <w:rPr>
          <w:rFonts w:ascii="Traditional Arabic" w:hAnsi="Traditional Arabic" w:cs="Traditional Arabic" w:eastAsia="Traditional Arabic"/>
          <w:rtl/>
        </w:rPr>
        <w:t xml:space="preserve">وفي الأمر الثالث قولان: الأول أن عدم الحكم يعارض قدمه، فيفسر الوقف بعدم العلم، وهو ما جاء في المنهاج: "والأولى: أن يفسره بعدم العلم؛ لأن الحكم قديم عنده".&lt;الإبهاج (٢/ ٣٧٩).&gt; والثاني أنه لا منافاة، وهو قول تقي الدين السبكي المتقدم.</w:t>
      </w:r>
    </w:p>
    <w:p>
      <w:pPr>
        <w:pStyle w:val="BodyText1"/>
      </w:pPr>
      <w:r>
        <w:rPr>
          <w:rFonts w:ascii="Traditional Arabic" w:hAnsi="Traditional Arabic" w:cs="Traditional Arabic" w:eastAsia="Traditional Arabic"/>
          <w:rtl/>
        </w:rPr>
        <w:t xml:space="preserve">#٥ د - أدلة المختار</w:t>
      </w:r>
    </w:p>
    <w:p>
      <w:pPr>
        <w:pStyle w:val="BodyText1"/>
      </w:pPr>
      <w:r>
        <w:rPr>
          <w:rFonts w:ascii="Traditional Arabic" w:hAnsi="Traditional Arabic" w:cs="Traditional Arabic" w:eastAsia="Traditional Arabic"/>
          <w:rtl/>
        </w:rPr>
        <w:t xml:space="preserve">والمختار - على ما يظهر من نصوص تقي الدين - هو الجزم بعدم الحكم قبل الشرع مع القول بقدم الحكم. وأدلة ذلك ثلاثة. الأول: أن الحكم هو الخطاب، فحيث لا خطاب لا حكم. قال التاج: "وقد ذهب أهل السنة والجماعة إلى أنه لا حكم فيها؛ لأن الحكم عندهم عبارة عن الخطاب على ما تقدم تفسيره، فحيث لا خطاب".&lt;الإبهاج (٢/ ٣٨٠).&gt; وهو من كلام التاج لا من كلام أبيه، وأوردته دليلا للقول.</w:t>
      </w:r>
    </w:p>
    <w:p>
      <w:pPr>
        <w:pStyle w:val="BodyText1"/>
      </w:pPr>
      <w:r>
        <w:rPr>
          <w:rFonts w:ascii="Traditional Arabic" w:hAnsi="Traditional Arabic" w:cs="Traditional Arabic" w:eastAsia="Traditional Arabic"/>
          <w:rtl/>
        </w:rPr>
        <w:t xml:space="preserve">والثاني: ما قرره الجويني، قال: "لا حكم على العقلاء قبل ورود الشرع بناء على أن الأحكام هي الشرائع بأعيانها وليست الأحكام صفات للأفعال".&lt;البرهان في أصول الفقه للجويني (١/ ١٣).&gt;</w:t>
      </w:r>
    </w:p>
    <w:p>
      <w:pPr>
        <w:pStyle w:val="BodyText1"/>
      </w:pPr>
      <w:r>
        <w:rPr>
          <w:rFonts w:ascii="Traditional Arabic" w:hAnsi="Traditional Arabic" w:cs="Traditional Arabic" w:eastAsia="Traditional Arabic"/>
          <w:rtl/>
        </w:rPr>
        <w:t xml:space="preserve">والثالث: ما ذكره تقي الدين من أن المقصود تعلق يوجد أثره في المحكوم عليه.&lt;إبراز الحكم (١/ ٦٠).&gt; ودفع به ما يتوهم من أن قدم الحكم يستلزم ثبوته قبل الشرع بأثره.</w:t>
      </w:r>
    </w:p>
    <w:p>
      <w:pPr>
        <w:pStyle w:val="BodyText1"/>
      </w:pPr>
      <w:r>
        <w:rPr>
          <w:rFonts w:ascii="Traditional Arabic" w:hAnsi="Traditional Arabic" w:cs="Traditional Arabic" w:eastAsia="Traditional Arabic"/>
          <w:rtl/>
        </w:rPr>
        <w:t xml:space="preserve">#٥ هـ - أدلة المخالف والجواب عنها</w:t>
      </w:r>
    </w:p>
    <w:p>
      <w:pPr>
        <w:pStyle w:val="BodyText1"/>
      </w:pPr>
      <w:r>
        <w:rPr>
          <w:rFonts w:ascii="Traditional Arabic" w:hAnsi="Traditional Arabic" w:cs="Traditional Arabic" w:eastAsia="Traditional Arabic"/>
          <w:rtl/>
        </w:rPr>
        <w:t xml:space="preserve">وأدلة المخالف دليلان. الأول دليل المعتزلة، وقد حكاه الزركشي: "فإنهم يقولون المدرك عندنا العقل ولا يضرنا عدم ورود الشرع".&lt;البحر المحيط (١/ ٢٠٩).&gt; والجواب عنه أن الوجوب لا يثبت بالعقل، وقد قال تقي الدين السبكي في الفتاوى: "العقل لا يوجب ذلك".&lt;فتاوى السبكي (٢/ ٥٢٢).&gt;</w:t>
      </w:r>
    </w:p>
    <w:p>
      <w:pPr>
        <w:pStyle w:val="BodyText1"/>
      </w:pPr>
      <w:r>
        <w:rPr>
          <w:rFonts w:ascii="Traditional Arabic" w:hAnsi="Traditional Arabic" w:cs="Traditional Arabic" w:eastAsia="Traditional Arabic"/>
          <w:rtl/>
        </w:rPr>
        <w:t xml:space="preserve">والثاني ما اعترض به المعتزلة على الأشاعرة: "الخطاب قديم عندكم والحكم حادث"، والجواب: "فالموصوف بالحدوث التعلق".&lt;تيسير التحرير (٢/ ١٣١).&gt; وهذا الجواب هو الذي بنى عليه تقي الدين ما قرره في إبراز الحكم من أن قدم الحكم لا ينافي انتفاء أثره.</w:t>
      </w:r>
    </w:p>
    <w:p>
      <w:pPr>
        <w:pStyle w:val="BodyText1"/>
      </w:pPr>
      <w:r>
        <w:rPr>
          <w:rFonts w:ascii="Traditional Arabic" w:hAnsi="Traditional Arabic" w:cs="Traditional Arabic" w:eastAsia="Traditional Arabic"/>
          <w:rtl/>
        </w:rPr>
        <w:t xml:space="preserve">#٥ و - تحرير نسبة المذاهب وتعقب ما يحتاج تعقبا</w:t>
      </w:r>
    </w:p>
    <w:p>
      <w:pPr>
        <w:pStyle w:val="BodyText1"/>
      </w:pPr>
      <w:r>
        <w:rPr>
          <w:rFonts w:ascii="Traditional Arabic" w:hAnsi="Traditional Arabic" w:cs="Traditional Arabic" w:eastAsia="Traditional Arabic"/>
          <w:rtl/>
        </w:rPr>
        <w:t xml:space="preserve">ويحتاج هنا إلى تعقب أمرين. الأول: أن المنهاج نسب الوقف إلى «الشيخ» فقال: "وتوقف الشيخ والصيرفي"، وعلل تفسيره بعدم العلم بقوله: "لأن الحكم قديم عنده"،&lt;الإبهاج (٢/ ٣٧٩).&gt; وبقوله: "لتجويزه التكليف بالمحال".&lt;الإبهاج (٢/ ٣٨٠).&gt; والشيخ فيه - فيما يظهر - الأشعري، فقد نسب الرازي الوقف إلى "أبي الحسن الأشعري وأبي بكر الصيرفي".&lt;المحصول للرازي (١/ ١٥٩).&gt; فالمنهاج يجعل قدم الحكم سببا لتفسير التوقف بعدم العلم، وهذا هو الذي يرده ما قرره تقي الدين - وإن لم يصرح بالرد على المنهاج - من أن القدم لا ينافي الجزم بالعدم. ولم أقف على كلام الأشعري نفسه لأقابل عليه هذه النسبة. يعرض على الدكتور.</w:t>
      </w:r>
    </w:p>
    <w:p>
      <w:pPr>
        <w:pStyle w:val="BodyText1"/>
      </w:pPr>
      <w:r>
        <w:rPr>
          <w:rFonts w:ascii="Traditional Arabic" w:hAnsi="Traditional Arabic" w:cs="Traditional Arabic" w:eastAsia="Traditional Arabic"/>
          <w:rtl/>
        </w:rPr>
        <w:t xml:space="preserve">والثاني: أن بعض أصحابنا قالوا بالحظر أو الإباحة ولم يكونوا موافقين للمعتزلة. قال الزركشي: "واعلم أن من قال من أصحابنا بالحظر أو الإباحة ليس موافقا للمعتزلة على أصولهم بل لمدرك شرعي".&lt;البحر المحيط (١/ ٢٠٩).&gt; فلا ينسب إليهم القول بثبوت الحكم قبل الشرع بالعقل.</w:t>
      </w:r>
    </w:p>
    <w:p>
      <w:pPr>
        <w:pStyle w:val="BodyText1"/>
      </w:pPr>
      <w:r>
        <w:rPr>
          <w:rFonts w:ascii="Traditional Arabic" w:hAnsi="Traditional Arabic" w:cs="Traditional Arabic" w:eastAsia="Traditional Arabic"/>
          <w:rtl/>
        </w:rPr>
        <w:t xml:space="preserve">#٥ ز - ما ألحق بالمسألة وليس منها</w:t>
      </w:r>
    </w:p>
    <w:p>
      <w:pPr>
        <w:pStyle w:val="BodyText1"/>
      </w:pPr>
      <w:r>
        <w:rPr>
          <w:rFonts w:ascii="Traditional Arabic" w:hAnsi="Traditional Arabic" w:cs="Traditional Arabic" w:eastAsia="Traditional Arabic"/>
          <w:rtl/>
        </w:rPr>
        <w:t xml:space="preserve">وألحق بالمسألة بحث النسخ، وهو متصل بها من جهة التفريق بين قدم الحكم وتعلقه. فقد قال الغزالي: "والموجب للحكم كلام الله تعالى القديم ولا ينعدم ولا يتصور رفعه ونسخه"، ثم قال: "فإذا قلنا الآية منسوخة أردنا به انقطاع تعلقها عن العبد وارتفاع مدلولها وحكمها لا ارتفاع ذاتها".&lt;المستصفى (ص: ٩٩).&gt; فجرى في النسخ ما جرى في الحكم قبل الشرع: القديم لا يرتفع، والمرتفع هو التعلق.</w:t>
      </w:r>
    </w:p>
    <w:p>
      <w:pPr>
        <w:pStyle w:val="BodyText1"/>
      </w:pPr>
      <w:r>
        <w:rPr>
          <w:rFonts w:ascii="Traditional Arabic" w:hAnsi="Traditional Arabic" w:cs="Traditional Arabic" w:eastAsia="Traditional Arabic"/>
          <w:rtl/>
        </w:rPr>
        <w:t xml:space="preserve">وألحق بها أيضا بحث الأصل في الأشياء، وقد ذكره تقي الدين في الخمر قبل تحريمها كما تقدم.&lt;تكملة المجموع للسبكي، قطعة جديدة (٣/ ٣٤٥).&gt;</w:t>
      </w:r>
    </w:p>
    <w:p>
      <w:pPr>
        <w:pStyle w:val="BodyText1"/>
      </w:pPr>
      <w:r>
        <w:rPr>
          <w:rFonts w:ascii="Traditional Arabic" w:hAnsi="Traditional Arabic" w:cs="Traditional Arabic" w:eastAsia="Traditional Arabic"/>
          <w:rtl/>
        </w:rPr>
        <w:t xml:space="preserve">#٤ رابعا: وجه استنباط السبكي</w:t>
      </w:r>
    </w:p>
    <w:p>
      <w:pPr>
        <w:pStyle w:val="BodyText1"/>
      </w:pPr>
      <w:r>
        <w:rPr>
          <w:rFonts w:ascii="Traditional Arabic" w:hAnsi="Traditional Arabic" w:cs="Traditional Arabic" w:eastAsia="Traditional Arabic"/>
          <w:rtl/>
        </w:rPr>
        <w:t xml:space="preserve">#٥ السياق</w:t>
      </w:r>
    </w:p>
    <w:p>
      <w:pPr>
        <w:pStyle w:val="BodyText1"/>
      </w:pPr>
      <w:r>
        <w:rPr>
          <w:rFonts w:ascii="Traditional Arabic" w:hAnsi="Traditional Arabic" w:cs="Traditional Arabic" w:eastAsia="Traditional Arabic"/>
          <w:rtl/>
        </w:rPr>
        <w:t xml:space="preserve">والنص الأول جاء في إبراز الحكم، في بحث مدلول قوله في الحديث: «رفع القلم»، وفي الوجه العاشر الذي مداره على أن النائم والصبي والمجنون يتعلق بهم خطاب الوضع. فلم يقصد فيه إلى تحرير مسألة حكم الأشياء قبل الشرع لذاتها، وإنما تعرض لها لأن نفي تعلق الحكم بهؤلاء يقاس على ما قبل البعثة.</w:t>
      </w:r>
    </w:p>
    <w:p>
      <w:pPr>
        <w:pStyle w:val="BodyText1"/>
      </w:pPr>
      <w:r>
        <w:rPr>
          <w:rFonts w:ascii="Traditional Arabic" w:hAnsi="Traditional Arabic" w:cs="Traditional Arabic" w:eastAsia="Traditional Arabic"/>
          <w:rtl/>
        </w:rPr>
        <w:t xml:space="preserve">#٥ المسلك الأول: القياس على ما قبل البعثة</w:t>
      </w:r>
    </w:p>
    <w:p>
      <w:pPr>
        <w:pStyle w:val="BodyText1"/>
      </w:pPr>
      <w:r>
        <w:rPr>
          <w:rFonts w:ascii="Traditional Arabic" w:hAnsi="Traditional Arabic" w:cs="Traditional Arabic" w:eastAsia="Traditional Arabic"/>
          <w:rtl/>
        </w:rPr>
        <w:t xml:space="preserve">وأول المسالك أنه قارن بين الصبي والمجنون والآدميين قبل البعثة، فقال إنهم "ليسوا بمنزلة البهيمة التي لم يتعلق بها حكم ألبتة، ولا بمنزلة الآدميين قبل البعثة".&lt;إبراز الحكم (١/ ٦٠).&gt; فجعل المراتب ثلاثا: البهيمة، ولا يتعلق بها حكم قط؛ والآدمي قبل البعثة، ولا يتعلق به حكم؛ والصبي بعد البعثة، ويتعلق به خطاب الوضع. وهذا موضع الدقة في كلامه: أنه أثبت للصبي خطاب الوضع والندب فخرج بذلك عن حال الآدمي قبل البعثة، وإن اشترك معه في انتفاء الوجوب والتحريم، وتوقف في سبب انتفائهما، كما تقدم في قوله: "لم أر من تكلم في ذلك".&lt;إبراز الحكم (١/ ٦٠).&gt;</w:t>
      </w:r>
    </w:p>
    <w:p>
      <w:pPr>
        <w:pStyle w:val="BodyText1"/>
      </w:pPr>
      <w:r>
        <w:rPr>
          <w:rFonts w:ascii="Traditional Arabic" w:hAnsi="Traditional Arabic" w:cs="Traditional Arabic" w:eastAsia="Traditional Arabic"/>
          <w:rtl/>
        </w:rPr>
        <w:t xml:space="preserve">#٥ المسلك الثاني: التفريق بين قدم الحكم وأثر تعلقه</w:t>
      </w:r>
    </w:p>
    <w:p>
      <w:pPr>
        <w:pStyle w:val="BodyText1"/>
      </w:pPr>
      <w:r>
        <w:rPr>
          <w:rFonts w:ascii="Traditional Arabic" w:hAnsi="Traditional Arabic" w:cs="Traditional Arabic" w:eastAsia="Traditional Arabic"/>
          <w:rtl/>
        </w:rPr>
        <w:t xml:space="preserve">وثانيها وهو أهمها أنه فرق بين قدم الحكم وتعلقه الذي يوجد أثره. ووجه الاستنباط أنه رأى أن القول بعدم الحكم قبل الشرع قد يعارض بقدم الحكم، فذكر أنه لا منافاة؛ لأن "المقصود هنا التعلق الذي يوجد أثره في المحكوم عليه، وذلك منتف قبل البعثة قطعا".&lt;إبراز الحكم (١/ ٦٠).&gt; فالحكم قديم، والتعلق بالمعنى الذي يترتب عليه أثر هو المنتفي.</w:t>
      </w:r>
    </w:p>
    <w:p>
      <w:pPr>
        <w:pStyle w:val="BodyText1"/>
      </w:pPr>
      <w:r>
        <w:rPr>
          <w:rFonts w:ascii="Traditional Arabic" w:hAnsi="Traditional Arabic" w:cs="Traditional Arabic" w:eastAsia="Traditional Arabic"/>
          <w:rtl/>
        </w:rPr>
        <w:t xml:space="preserve">ويوافق ذلك ما في الفتاوى (١/ ٣٠) من تخريج الخلاف في الكتابة على أن "التكليف أزلي" أو "حادث" أو "تعلقه حادث".&lt;فتاوى السبكي (١/ ٣٠).&gt; فالتفريق بين الحكم وتعلقه مطرد في كلامه لا خاص بموضع واحد.</w:t>
      </w:r>
    </w:p>
    <w:p>
      <w:pPr>
        <w:pStyle w:val="BodyText1"/>
      </w:pPr>
      <w:r>
        <w:rPr>
          <w:rFonts w:ascii="Traditional Arabic" w:hAnsi="Traditional Arabic" w:cs="Traditional Arabic" w:eastAsia="Traditional Arabic"/>
          <w:rtl/>
        </w:rPr>
        <w:t xml:space="preserve">#٥ المسلك الثالث: الجزم بالعدم لا التوقف</w:t>
      </w:r>
    </w:p>
    <w:p>
      <w:pPr>
        <w:pStyle w:val="BodyText1"/>
      </w:pPr>
      <w:r>
        <w:rPr>
          <w:rFonts w:ascii="Traditional Arabic" w:hAnsi="Traditional Arabic" w:cs="Traditional Arabic" w:eastAsia="Traditional Arabic"/>
          <w:rtl/>
        </w:rPr>
        <w:t xml:space="preserve">وثالثها أنه اختار الجزم بعدم الحكم لا التوقف.&lt;إبراز الحكم (١/ ٦٠).&gt; ووجه الاستنباط أن المنهاج جعل قدم الحكم مسوغا لتفسير التوقف بعدم العلم، فإذا ثبت أن القدم لا ينافي انتفاء الأثر لم يبق ما يدعو إلى ذلك، فيتعين الجزم بعدم الحكم. وهو يوافق قول المازري: "ونعني به القطع على أن لا حكم لله سبحانه في حقنا".&lt;البحر المحيط (١/ ٢٠٩).&gt;</w:t>
      </w:r>
    </w:p>
    <w:p>
      <w:pPr>
        <w:pStyle w:val="BodyText1"/>
      </w:pPr>
      <w:r>
        <w:rPr>
          <w:rFonts w:ascii="Traditional Arabic" w:hAnsi="Traditional Arabic" w:cs="Traditional Arabic" w:eastAsia="Traditional Arabic"/>
          <w:rtl/>
        </w:rPr>
        <w:t xml:space="preserve">#٥ المسلك الرابع: رد الحكم بالانتفاء إلى العقل</w:t>
      </w:r>
    </w:p>
    <w:p>
      <w:pPr>
        <w:pStyle w:val="BodyText1"/>
      </w:pPr>
      <w:r>
        <w:rPr>
          <w:rFonts w:ascii="Traditional Arabic" w:hAnsi="Traditional Arabic" w:cs="Traditional Arabic" w:eastAsia="Traditional Arabic"/>
          <w:rtl/>
        </w:rPr>
        <w:t xml:space="preserve">ورابعها أنه جعل الحكم بالانتفاء حكما عقليا لا شرعيا، فقال: "وحكمنا بذلك حكم عقلي لا شرعي".&lt;إبراز الحكم (١/ ٦٠).&gt; وذلك أن الحكم الشرعي لا يثبت إلا بالخطاب، والانتفاء ليس خطابا. وهذا يوافق ما نص عليه في الفتاوى من أن الأحكام لا تثبت إلا بالشرع،&lt;فتاوى السبكي (٢/ ٦٢٥).&gt; فإن العقل هنا يدرك أن لا حكم، ولا يوجب حكما.</w:t>
      </w:r>
    </w:p>
    <w:p>
      <w:pPr>
        <w:pStyle w:val="BodyText1"/>
      </w:pPr>
      <w:r>
        <w:rPr>
          <w:rFonts w:ascii="Traditional Arabic" w:hAnsi="Traditional Arabic" w:cs="Traditional Arabic" w:eastAsia="Traditional Arabic"/>
          <w:rtl/>
        </w:rPr>
        <w:t xml:space="preserve">#٥ تحرير مأخذ المخالف</w:t>
      </w:r>
    </w:p>
    <w:p>
      <w:pPr>
        <w:pStyle w:val="BodyText1"/>
      </w:pPr>
      <w:r>
        <w:rPr>
          <w:rFonts w:ascii="Traditional Arabic" w:hAnsi="Traditional Arabic" w:cs="Traditional Arabic" w:eastAsia="Traditional Arabic"/>
          <w:rtl/>
        </w:rPr>
        <w:t xml:space="preserve">ومأخذ المخالف أن العقل يثبت الحكم قبل الشرع بإدراكه الحسن والقبح. وقد ذكر الزركشي مأخذهم: "المدرك عندنا العقل ولا يضرنا عدم ورود الشرع".&lt;البحر المحيط (١/ ٢٠٩).&gt; وجواب تقي الدين أن الحكم بالانتفاء حكم عقلي، لكن إثبات الحكم لا يكون إلا بالشرع، وهو ما نص عليه في الفتاوى.&lt;فتاوى السبكي (٢/ ٦٢٥).&gt;</w:t>
      </w:r>
    </w:p>
    <w:p>
      <w:pPr>
        <w:pStyle w:val="BodyText1"/>
      </w:pPr>
      <w:r>
        <w:rPr>
          <w:rFonts w:ascii="Traditional Arabic" w:hAnsi="Traditional Arabic" w:cs="Traditional Arabic" w:eastAsia="Traditional Arabic"/>
          <w:rtl/>
        </w:rPr>
        <w:t xml:space="preserve">#٥ ما سبقه إليه غيره وما زاده</w:t>
      </w:r>
    </w:p>
    <w:p>
      <w:pPr>
        <w:pStyle w:val="BodyText1"/>
      </w:pPr>
      <w:r>
        <w:rPr>
          <w:rFonts w:ascii="Traditional Arabic" w:hAnsi="Traditional Arabic" w:cs="Traditional Arabic" w:eastAsia="Traditional Arabic"/>
          <w:rtl/>
        </w:rPr>
        <w:t xml:space="preserve">أما ما سبقه إليه غيره فالجزم بعدم الحكم قبل الشرع، وهو قول الأشاعرة في تفسير الوقف عند ابن القشيري وابن برهان والمازري كما تقدم، وقول الرازي: "قطعا بعدم الحكم".&lt;المحصول للرازي (١/ ١٥٩).&gt; وأما قدم الحكم فهو قول الغزالي: "قديم تعلق بعباده على تقدير وجودهم".&lt;المستصفى (ص: ٦٨).&gt; وأما ما زاده فيما وقفت عليه فالجمع بينهما بقوله: "ولا ينافي ذلك كون الحكم قديما"،&lt;إبراز الحكم (١/ ٦٠).&gt; وتعليل ذلك بأن المقصود التعلق الذي يوجد أثره. ولم أقف على من نص قبله على هذا الجمع بهذه العبارة. يعرض على الدكتور.</w:t>
      </w:r>
    </w:p>
    <w:p>
      <w:pPr>
        <w:pStyle w:val="BodyText1"/>
      </w:pPr>
      <w:r>
        <w:rPr>
          <w:rFonts w:ascii="Traditional Arabic" w:hAnsi="Traditional Arabic" w:cs="Traditional Arabic" w:eastAsia="Traditional Arabic"/>
          <w:rtl/>
        </w:rPr>
        <w:t xml:space="preserve">#٤ خامسا: تصريحه في مصنفاته الأخرى</w:t>
      </w:r>
    </w:p>
    <w:p>
      <w:pPr>
        <w:pStyle w:val="BodyText1"/>
      </w:pPr>
      <w:r>
        <w:rPr>
          <w:rFonts w:ascii="Traditional Arabic" w:hAnsi="Traditional Arabic" w:cs="Traditional Arabic" w:eastAsia="Traditional Arabic"/>
          <w:rtl/>
        </w:rPr>
        <w:t xml:space="preserve">والتصريح في مصنفاته على أربعة أوجه. الأول: إبراز الحكم (١/ ٦٠)، وقد تقدم. والثاني: الفتاوى (١/ ٣٠، ٢/ ٦٢٥)، وقد تقدمت. والثالث: التكملة (٣/ ٣٤٥)، وقد تقدمت. والرابع: الإبهاج، وليس في قسم الأب منه (٢/ ٣٠١ - ٣٠٣) كلام على المسألة فيما قرأت. أما ما في (٢/ ٣٧٩ - ٣٨٠) من كلام على حكم الأشياء قبل الشرع فهو بعد الحد الفاصل، فهو للتاج لا لأبيه، ومنه نقل عبارة المنهاج.</w:t>
      </w:r>
    </w:p>
    <w:p>
      <w:pPr>
        <w:pStyle w:val="BodyText1"/>
      </w:pPr>
      <w:r>
        <w:rPr>
          <w:rFonts w:ascii="Traditional Arabic" w:hAnsi="Traditional Arabic" w:cs="Traditional Arabic" w:eastAsia="Traditional Arabic"/>
          <w:rtl/>
        </w:rPr>
        <w:t xml:space="preserve">وأما ما نقله عنه المتأخرون فقد بحثت في البحر المحيط بعبارة «قال الشيخ تقي الدين السبكي لا حكم قبل الشرع» فلم أقف على شيء.</w:t>
      </w:r>
    </w:p>
    <w:p>
      <w:pPr>
        <w:pStyle w:val="BodyText1"/>
      </w:pPr>
      <w:r>
        <w:rPr>
          <w:rFonts w:ascii="Traditional Arabic" w:hAnsi="Traditional Arabic" w:cs="Traditional Arabic" w:eastAsia="Traditional Arabic"/>
          <w:rtl/>
        </w:rPr>
        <w:t xml:space="preserve">#٤ سادسا: الترجيح وثمرة القاعدة</w:t>
      </w:r>
    </w:p>
    <w:p>
      <w:pPr>
        <w:pStyle w:val="BodyText1"/>
      </w:pPr>
      <w:r>
        <w:rPr>
          <w:rFonts w:ascii="Traditional Arabic" w:hAnsi="Traditional Arabic" w:cs="Traditional Arabic" w:eastAsia="Traditional Arabic"/>
          <w:rtl/>
        </w:rPr>
        <w:t xml:space="preserve">#٥ الترجيح</w:t>
      </w:r>
    </w:p>
    <w:p>
      <w:pPr>
        <w:pStyle w:val="BodyText1"/>
      </w:pPr>
      <w:r>
        <w:rPr>
          <w:rFonts w:ascii="Traditional Arabic" w:hAnsi="Traditional Arabic" w:cs="Traditional Arabic" w:eastAsia="Traditional Arabic"/>
          <w:rtl/>
        </w:rPr>
        <w:t xml:space="preserve">والذي يترجح - والله أعلم - أن القاعدة بصيغتها «الأحكام ثابتة قبل الشرع» صحيحة على معنى القدم، وغير صحيحة على معنى الأثر. وبيانه أن قدم كلام الله متفق عليه عند الأشاعرة، وإن اختلفوا في تسمية الحكم: فالغزالي يجعل "الموجب للحكم كلام الله تعالى القديم"،&lt;المستصفى (ص: ٩٩).&gt; والآمدي يقول في جوابه: "الحكم ليس هو نفس الكلام القديم كما سبق تقريره بل الكلام بصفة التعلق فكان حادثا".&lt;الإحكام للآمدي (٣/ ٢٩٢).&gt; وهذا الاختلاف في تسمية الحكم لا في ثبوت الكلام. وأما الذين نفوا الحكم قبل الشرع فإنما نفوا الحكم المتعلق بالمكلف تعلقا يترتب عليه أثر، وهو ما نص عليه تقي الدين بقوله إنه لا ينافي كون الحكم قديما. ويظهر لي - والله أعلم - أن النزاع بين من يقول إن الحكم قديم ومن يقول إنه لا حكم قبل الشرع يرجع إلى تحرير معنى الحكم؛ وقد قال أمير باد شاه في نظير ذلك: "والخلاف في خطاب المعدوم في الأزل لفظي".&lt;تيسير التحرير (٢/ ١٣١).&gt;</w:t>
      </w:r>
    </w:p>
    <w:p>
      <w:pPr>
        <w:pStyle w:val="BodyText1"/>
      </w:pPr>
      <w:r>
        <w:rPr>
          <w:rFonts w:ascii="Traditional Arabic" w:hAnsi="Traditional Arabic" w:cs="Traditional Arabic" w:eastAsia="Traditional Arabic"/>
          <w:rtl/>
        </w:rPr>
        <w:t xml:space="preserve">#٥ ثمرة القاعدة في المسألة المستنبط منها</w:t>
      </w:r>
    </w:p>
    <w:p>
      <w:pPr>
        <w:pStyle w:val="BodyText1"/>
      </w:pPr>
      <w:r>
        <w:rPr>
          <w:rFonts w:ascii="Traditional Arabic" w:hAnsi="Traditional Arabic" w:cs="Traditional Arabic" w:eastAsia="Traditional Arabic"/>
          <w:rtl/>
        </w:rPr>
        <w:t xml:space="preserve">وثمرة القاعدة في إبراز الحكم أن النائم والصبي والمجنون يتعلق بهم خطاب الوضع، فليسوا كالبهيمة ولا كالآدميين قبل البعثة،&lt;إبراز الحكم (١/ ٦٠).&gt; وأن مدلول «رفع القلم» يتوقف على الجواب عن سؤال: هل انتفاء الوجوب في الصبي لعدم الحكم كما قبل الشرع أو لحكم تخفيفا؟ فإن جعل الثابت عدم الحكم "احتجنا إلى تكلف الجواب" عن قول السائل: إنه لم يكن موضوعا.&lt;إبراز الحكم (١/ ٦٠).&gt;</w:t>
      </w:r>
    </w:p>
    <w:p>
      <w:pPr>
        <w:pStyle w:val="BodyText1"/>
      </w:pPr>
      <w:r>
        <w:rPr>
          <w:rFonts w:ascii="Traditional Arabic" w:hAnsi="Traditional Arabic" w:cs="Traditional Arabic" w:eastAsia="Traditional Arabic"/>
          <w:rtl/>
        </w:rPr>
        <w:t xml:space="preserve">#٥ ثمراتها الأخرى</w:t>
      </w:r>
    </w:p>
    <w:p>
      <w:pPr>
        <w:pStyle w:val="BodyText1"/>
      </w:pPr>
      <w:r>
        <w:rPr>
          <w:rFonts w:ascii="Traditional Arabic" w:hAnsi="Traditional Arabic" w:cs="Traditional Arabic" w:eastAsia="Traditional Arabic"/>
          <w:rtl/>
        </w:rPr>
        <w:t xml:space="preserve">ولها ثمرات أخرى. الأولى: تخريج الخلاف في تفسير الآية على قدم التكليف أو حدوثه،&lt;فتاوى السبكي (١/ ٣٠).&gt; وهو يبين اطراد القاعدة. والثانية: أن الأفعال قبل الشرع تبقى على الأصل، فلا يحكم على الخمر قبل تحريمها بإباحة ولا بتحريم إلا بدليل،&lt;تكملة المجموع للسبكي، قطعة جديدة (٣/ ٣٤٥).&gt; وهو ما قال فيه: "فيبقى النظر".&lt;تكملة المجموع للسبكي، قطعة جديدة (٣/ ٣٤٥).&gt; والثالثة: أن النسخ ينقطع به التعلق لا الحكم القديم، كما قرره الغزالي.&lt;المستصفى (ص: ٩٩).&gt;</w:t>
      </w:r>
    </w:p>
    <w:sectPr>
      <w:footerReference w:type="default" r:id="rIdFooter"/>
      <w:footnotePr>
        <w:numFmt w:val="hindiNumbers"/>
      </w:footnotePr>
      <w:pgSz w:w="11906" w:h="16838"/>
      <w:pgMar w:top="1417" w:right="1417" w:bottom="1417" w:left="1417" w:header="709" w:footer="709" w:gutter="0"/>
      <w:pgNumType w:fmt="hindiNumbers"/>
      <w:bidi/>
    </w:sectPr>
  </w:body>
</w:document>
</file>

<file path=word/footer1.xml><?xml version="1.0" encoding="utf-8"?>
<w:ftr xmlns:w="http://schemas.openxmlformats.org/wordprocessingml/2006/main" xmlns:r="http://schemas.openxmlformats.org/officeDocument/2006/relationships">
  <w:p>
    <w:pPr>
      <w:pStyle w:val="Footer"/>
      <w:bidi/>
      <w:jc w:val="center"/>
    </w:pPr>
    <w:r>
      <w:rPr>
        <w:rFonts w:ascii="Traditional Arabic" w:hAnsi="Traditional Arabic" w:cs="Traditional Arabic" w:eastAsia="Traditional Arabic"/>
        <w:rtl/>
      </w:rPr>
      <w:fldChar w:fldCharType="begin"/>
    </w:r>
    <w:r>
      <w:rPr>
        <w:rFonts w:ascii="Traditional Arabic" w:hAnsi="Traditional Arabic" w:cs="Traditional Arabic" w:eastAsia="Traditional Arabic"/>
        <w:rtl/>
      </w:rPr>
      <w:instrText xml:space="preserve"> PAGE </w:instrText>
    </w:r>
    <w:r>
      <w:rPr>
        <w:rFonts w:ascii="Traditional Arabic" w:hAnsi="Traditional Arabic" w:cs="Traditional Arabic" w:eastAsia="Traditional Arabic"/>
        <w:rtl/>
      </w:rPr>
      <w:fldChar w:fldCharType="separate"/>
    </w:r>
    <w:r>
      <w:rPr>
        <w:rFonts w:ascii="Traditional Arabic" w:hAnsi="Traditional Arabic" w:cs="Traditional Arabic" w:eastAsia="Traditional Arabic"/>
        <w:rtl/>
      </w:rPr>
      <w:t>١</w:t>
    </w:r>
    <w:r>
      <w:rPr>
        <w:rFonts w:ascii="Traditional Arabic" w:hAnsi="Traditional Arabic" w:cs="Traditional Arabic" w:eastAsia="Traditional Arabic"/>
        <w:rtl/>
      </w:rPr>
      <w:fldChar w:fldCharType="end"/>
    </w:r>
  </w:p>
</w:ftr>
</file>

<file path=word/settings.xml><?xml version="1.0" encoding="utf-8"?>
<w:settings xmlns:w="http://schemas.openxmlformats.org/wordprocessingml/2006/main" xmlns:r="http://schemas.openxmlformats.org/officeDocument/2006/relationships">
  <w:zoom w:percent="100"/>
  <w:defaultTabStop w:val="720"/>
  <w:characterSpacingControl w:val="doNotCompress"/>
  <w:themeFontLang w:val="en-US" w:bidi="ar-SA"/>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raditional Arabic" w:hAnsi="Traditional Arabic" w:cs="Traditional Arabic" w:eastAsia="Traditional Arabic"/>
        <w:sz w:val="36"/>
        <w:szCs w:val="36"/>
        <w:lang w:val="ar-SA" w:bidi="ar-SA"/>
      </w:rPr>
    </w:rPrDefault>
    <w:pPrDefault>
      <w:pPr>
        <w:bidi/>
        <w:spacing w:after="160" w:line="240" w:lineRule="auto"/>
        <w:jc w:val="both"/>
      </w:pPr>
    </w:pPrDefault>
  </w:docDefaults>
  <w:style w:type="paragraph" w:default="1" w:styleId="Normal">
    <w:name w:val="Normal"/>
    <w:qFormat/>
  </w:style>
  <w:style w:type="paragraph" w:styleId="BodyText1">
    <w:name w:val="Body Text 1"/>
    <w:basedOn w:val="Normal"/>
    <w:qFormat/>
    <w:pPr>
      <w:bidi/>
      <w:spacing w:after="160" w:line="240" w:lineRule="auto"/>
      <w:ind w:firstLine="283"/>
      <w:jc w:val="both"/>
    </w:pPr>
    <w:rPr>
      <w:rFonts w:ascii="Traditional Arabic" w:hAnsi="Traditional Arabic" w:cs="Traditional Arabic" w:eastAsia="Traditional Arabic"/>
      <w:sz w:val="36"/>
      <w:szCs w:val="36"/>
      <w:rtl/>
    </w:rPr>
  </w:style>
  <w:style w:type="paragraph" w:styleId="Heading1">
    <w:name w:val="heading 1"/>
    <w:basedOn w:val="Normal"/>
    <w:next w:val="BodyText1"/>
    <w:qFormat/>
    <w:pPr>
      <w:keepNext/>
      <w:bidi/>
      <w:spacing w:before="240" w:after="160" w:line="240" w:lineRule="auto"/>
      <w:jc w:val="both"/>
      <w:outlineLvl w:val="0"/>
    </w:pPr>
    <w:rPr>
      <w:rFonts w:ascii="Traditional Arabic" w:hAnsi="Traditional Arabic" w:cs="Traditional Arabic" w:eastAsia="Traditional Arabic"/>
      <w:b/>
      <w:bCs/>
      <w:sz w:val="44"/>
      <w:szCs w:val="44"/>
      <w:rtl/>
    </w:rPr>
  </w:style>
  <w:style w:type="paragraph" w:styleId="Heading2">
    <w:name w:val="heading 2"/>
    <w:basedOn w:val="Normal"/>
    <w:next w:val="BodyText1"/>
    <w:qFormat/>
    <w:pPr>
      <w:keepNext/>
      <w:bidi/>
      <w:spacing w:before="240" w:after="160" w:line="240" w:lineRule="auto"/>
      <w:jc w:val="both"/>
      <w:outlineLvl w:val="1"/>
    </w:pPr>
    <w:rPr>
      <w:rFonts w:ascii="Traditional Arabic" w:hAnsi="Traditional Arabic" w:cs="Traditional Arabic" w:eastAsia="Traditional Arabic"/>
      <w:b/>
      <w:bCs/>
      <w:sz w:val="40"/>
      <w:szCs w:val="40"/>
      <w:rtl/>
    </w:rPr>
  </w:style>
  <w:style w:type="paragraph" w:styleId="Heading3">
    <w:name w:val="heading 3"/>
    <w:basedOn w:val="Normal"/>
    <w:next w:val="BodyText1"/>
    <w:qFormat/>
    <w:pPr>
      <w:keepNext/>
      <w:bidi/>
      <w:spacing w:before="240" w:after="160" w:line="240" w:lineRule="auto"/>
      <w:jc w:val="both"/>
      <w:outlineLvl w:val="2"/>
    </w:pPr>
    <w:rPr>
      <w:rFonts w:ascii="Traditional Arabic" w:hAnsi="Traditional Arabic" w:cs="Traditional Arabic" w:eastAsia="Traditional Arabic"/>
      <w:b/>
      <w:bCs/>
      <w:sz w:val="44"/>
      <w:szCs w:val="44"/>
      <w:rtl/>
    </w:rPr>
  </w:style>
  <w:style w:type="paragraph" w:styleId="Heading4">
    <w:name w:val="heading 4"/>
    <w:basedOn w:val="Normal"/>
    <w:next w:val="BodyText1"/>
    <w:qFormat/>
    <w:pPr>
      <w:keepNext/>
      <w:bidi/>
      <w:spacing w:before="240" w:after="160" w:line="240" w:lineRule="auto"/>
      <w:jc w:val="both"/>
      <w:outlineLvl w:val="3"/>
    </w:pPr>
    <w:rPr>
      <w:rFonts w:ascii="Traditional Arabic" w:hAnsi="Traditional Arabic" w:cs="Traditional Arabic" w:eastAsia="Traditional Arabic"/>
      <w:b/>
      <w:bCs/>
      <w:sz w:val="40"/>
      <w:szCs w:val="40"/>
      <w:rtl/>
    </w:rPr>
  </w:style>
  <w:style w:type="paragraph" w:styleId="Heading5">
    <w:name w:val="heading 5"/>
    <w:basedOn w:val="Normal"/>
    <w:next w:val="BodyText1"/>
    <w:qFormat/>
    <w:pPr>
      <w:keepNext/>
      <w:bidi/>
      <w:spacing w:before="240" w:after="160" w:line="240" w:lineRule="auto"/>
      <w:jc w:val="both"/>
      <w:outlineLvl w:val="4"/>
    </w:pPr>
    <w:rPr>
      <w:rFonts w:ascii="Traditional Arabic" w:hAnsi="Traditional Arabic" w:cs="Traditional Arabic" w:eastAsia="Traditional Arabic"/>
      <w:b/>
      <w:bCs/>
      <w:sz w:val="36"/>
      <w:szCs w:val="36"/>
      <w:rtl/>
    </w:rPr>
  </w:style>
  <w:style w:type="paragraph" w:styleId="FootnoteText">
    <w:name w:val="footnote text"/>
    <w:basedOn w:val="Normal"/>
    <w:pPr>
      <w:bidi/>
      <w:spacing w:after="40" w:line="240" w:lineRule="auto"/>
      <w:jc w:val="both"/>
    </w:pPr>
    <w:rPr>
      <w:rFonts w:ascii="Traditional Arabic" w:hAnsi="Traditional Arabic" w:cs="Traditional Arabic" w:eastAsia="Traditional Arabic"/>
      <w:sz w:val="28"/>
      <w:szCs w:val="28"/>
    </w:rPr>
  </w:style>
  <w:style w:type="character" w:styleId="FootnoteReference">
    <w:name w:val="footnote reference"/>
    <w:rPr>
      <w:vertAlign w:val="superscript"/>
    </w:rPr>
  </w:style>
  <w:style w:type="paragraph" w:styleId="Footer">
    <w:name w:val="footer"/>
    <w:basedOn w:val="Normal"/>
    <w:pPr>
      <w:jc w:val="center"/>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s>
</file>

<file path=docProps/app.xml><?xml version="1.0" encoding="utf-8"?>
<Properties xmlns="http://schemas.openxmlformats.org/officeDocument/2006/extended-properties">
  <Application>build.py</Application>
</Properties>
</file>

<file path=docProps/core.xml><?xml version="1.0" encoding="utf-8"?>
<cp:coreProperties xmlns:cp="http://schemas.openxmlformats.org/package/2006/metadata/core-properties" xmlns:dc="http://purl.org/dc/elements/1.1/" xmlns:dcterms="http://purl.org/dc/terms/" xmlns:xsi="http://www.w3.org/2001/XMLSchema-instance">
  <dc:title>التحسين والتقبيح العقليان</dc:title>
  <dc:creator>عبدالله العزب</dc:creator>
  <cp:lastModifiedBy>عبدالله العزب</cp:lastModifiedBy>
  <dcterms:created xsi:type="dcterms:W3CDTF">2026-10-02T11:41:27Z</dcterms:created>
  <dcterms:modified xsi:type="dcterms:W3CDTF">2026-10-02T11:41:27Z</dcterms:modified>
</cp:coreProperties>
</file>