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محضر مراجعة العزو: الأحكام ثابتة قبل الشرع</w:t>
      </w:r>
    </w:p>
    <w:p>
      <w:pPr>
        <w:pStyle w:val="BodyText1"/>
      </w:pPr>
      <w:r>
        <w:rPr>
          <w:rFonts w:ascii="Traditional Arabic" w:hAnsi="Traditional Arabic" w:cs="Traditional Arabic" w:eastAsia="Traditional Arabic"/>
          <w:rtl/>
        </w:rPr>
        <w:t xml:space="preserve">هذا المحضر موازٍ لمطلب «الأحكام ثابتة قبل الشرع». رتبته على أبواب المطلب، وأثبت فيه ما قوبل وأين، وما صحح، وما أبدل، وما اختلف فيه المصدر عن المكتوب، وما بحثت عنه ولم أجده.</w:t>
      </w:r>
    </w:p>
    <w:p>
      <w:pPr>
        <w:pStyle w:val="BodyText1"/>
      </w:pPr>
      <w:r>
        <w:rPr>
          <w:rFonts w:ascii="Traditional Arabic" w:hAnsi="Traditional Arabic" w:cs="Traditional Arabic" w:eastAsia="Traditional Arabic"/>
          <w:rtl/>
        </w:rPr>
        <w:t xml:space="preserve">#٤ أولا: ما جرى عليه البحث</w:t>
      </w:r>
    </w:p>
    <w:p>
      <w:pPr>
        <w:pStyle w:val="BodyText1"/>
      </w:pPr>
      <w:r>
        <w:rPr>
          <w:rFonts w:ascii="Traditional Arabic" w:hAnsi="Traditional Arabic" w:cs="Traditional Arabic" w:eastAsia="Traditional Arabic"/>
          <w:rtl/>
        </w:rPr>
        <w:t xml:space="preserve">تعذر الوصول إلى الشاملة من بيئة العمل لحجبها، فاستعملت موصل «تراث» (البحث بـ search_turath، وقراءة الصفحة بـ get_page). وكل رقم أثبته إنما أخذ من صفحة فتحتها بـ get_page؛ لا من مقتطف البحث. وجاء ترقيم الأجزاء والصفحات على ما في تراث؛ وما كان مجلدا واحدا أثبت عزوه بـ(ص:).</w:t>
      </w:r>
    </w:p>
    <w:p>
      <w:pPr>
        <w:pStyle w:val="BodyText1"/>
      </w:pPr>
      <w:r>
        <w:rPr>
          <w:rFonts w:ascii="Traditional Arabic" w:hAnsi="Traditional Arabic" w:cs="Traditional Arabic" w:eastAsia="Traditional Arabic"/>
          <w:rtl/>
        </w:rPr>
        <w:t xml:space="preserve">وانتهى العمل إلى ٦٨ حاشية، فيها ٦٧ نصا منقولا بلفظه بين علامتي التنصيص، قوبل كل نص منها آليا على نص الصفحة المعزو إليها (بعد تجريد التشكيل ورموز الثناء وأرقام الحواشي)، وخرجت النتيجة ٦٧ من ٦٧ مطابقا. وعدد الصفحات المختلفة المعزو إليها ٢٧ صفحة. ولم تقابل بهذه الطريقة إلا النصوص التي بين علامتي التنصيص؛ أما ما صغته بعبارتي فقرأت مستنده وقابلته يدويا على ما في الصفحة.</w:t>
      </w:r>
    </w:p>
    <w:p>
      <w:pPr>
        <w:pStyle w:val="BodyText1"/>
      </w:pPr>
      <w:r>
        <w:rPr>
          <w:rFonts w:ascii="Traditional Arabic" w:hAnsi="Traditional Arabic" w:cs="Traditional Arabic" w:eastAsia="Traditional Arabic"/>
          <w:rtl/>
        </w:rPr>
        <w:t xml:space="preserve">#٤ ثانيا: جولات المراجعة مرتبة على أبواب المطلب</w:t>
      </w:r>
    </w:p>
    <w:p>
      <w:pPr>
        <w:pStyle w:val="BodyText1"/>
      </w:pPr>
      <w:r>
        <w:rPr>
          <w:rFonts w:ascii="Traditional Arabic" w:hAnsi="Traditional Arabic" w:cs="Traditional Arabic" w:eastAsia="Traditional Arabic"/>
          <w:rtl/>
        </w:rPr>
        <w:t xml:space="preserve">#٥ تمهيد</w:t>
      </w:r>
    </w:p>
    <w:p>
      <w:pPr>
        <w:pStyle w:val="BodyText1"/>
      </w:pPr>
      <w:r>
        <w:rPr>
          <w:rFonts w:ascii="Traditional Arabic" w:hAnsi="Traditional Arabic" w:cs="Traditional Arabic" w:eastAsia="Traditional Arabic"/>
          <w:rtl/>
        </w:rPr>
        <w:t xml:space="preserve">الحاشية ٣: مقاييس اللغة لابن فارس (١/ ٣٩٩). ← قوبل ٢ من النصوص المنقولة بلفظها على نص الصفحة المسترجعة من تراث (مقاييس اللغة ١/ ٣٩٩ (معرّف الصفحة ٤٤٢، كتاب تراث رقم ٢١٧١٠))، ومنها: «الثاء والباء والتاء كلمة واحدة، وهي دوام الشئ»، فوافقت.</w:t>
      </w:r>
    </w:p>
    <w:p>
      <w:pPr>
        <w:pStyle w:val="BodyText1"/>
      </w:pPr>
      <w:r>
        <w:rPr>
          <w:rFonts w:ascii="Traditional Arabic" w:hAnsi="Traditional Arabic" w:cs="Traditional Arabic" w:eastAsia="Traditional Arabic"/>
          <w:rtl/>
        </w:rPr>
        <w:t xml:space="preserve">الحاشية ٤: مقاييس اللغة (٥/ ٦٥). ← قوبل ٢ من النصوص المنقولة بلفظها على نص الصفحة المسترجعة من تراث (مقاييس اللغة ٥/ ٦٥ (معرّف الصفحة ٢١١٨، كتاب تراث رقم ٢١٧١٠))، ومنها: «القاف والدال والميم أصل صحيح يدل على سبق ورعف»، فوافقت.</w:t>
      </w:r>
    </w:p>
    <w:p>
      <w:pPr>
        <w:pStyle w:val="BodyText1"/>
      </w:pPr>
      <w:r>
        <w:rPr>
          <w:rFonts w:ascii="Traditional Arabic" w:hAnsi="Traditional Arabic" w:cs="Traditional Arabic" w:eastAsia="Traditional Arabic"/>
          <w:rtl/>
        </w:rPr>
        <w:t xml:space="preserve">الحاشية ٥: مقاييس اللغة (٢/ ٩١). ← قوبل ١ من النصوص المنقولة بلفظها على نص الصفحة المسترجعة من تراث (مقاييس اللغة ٢/ ٩١ (معرّف الصفحة ٦٥١، كتاب تراث رقم ٢١٧١٠))، ومنها: «الحاء والكاف والميم أصل واحد، وهو المنع»، فوافقت.</w:t>
      </w:r>
    </w:p>
    <w:p>
      <w:pPr>
        <w:pStyle w:val="BodyText1"/>
      </w:pPr>
      <w:r>
        <w:rPr>
          <w:rFonts w:ascii="Traditional Arabic" w:hAnsi="Traditional Arabic" w:cs="Traditional Arabic" w:eastAsia="Traditional Arabic"/>
          <w:rtl/>
        </w:rPr>
        <w:t xml:space="preserve">الحاشية ٦: المستصفى للغزالي (ص: ٤٥). ← قوبل ٢ من النصوص المنقولة بلفظها على نص الصفحة المسترجعة من تراث (المستصفى ١/ ٤٥ (معرّف الصفحة ٤٣، كتاب تراث رقم ٥٤٥٩))، ومنها: «الحكم عندنا عبارة عن خطاب الشرع إذا تعلق بأفعال المكلفين»، فوافقت.</w:t>
      </w:r>
    </w:p>
    <w:p>
      <w:pPr>
        <w:pStyle w:val="BodyText1"/>
      </w:pPr>
      <w:r>
        <w:rPr>
          <w:rFonts w:ascii="Traditional Arabic" w:hAnsi="Traditional Arabic" w:cs="Traditional Arabic" w:eastAsia="Traditional Arabic"/>
          <w:rtl/>
        </w:rPr>
        <w:t xml:space="preserve">الحاشية ٧: المستصفى (ص: ٩٩). ← قوبل ١ من النصوص المنقولة بلفظها على نص الصفحة المسترجعة من تراث (المستصفى ١/ ٩٩ (معرّف الصفحة ٩٧، كتاب تراث رقم ٥٤٥٩))، ومنها: «والموجب للحكم كلام الله تعالى القديم»، فوافقت.</w:t>
      </w:r>
    </w:p>
    <w:p>
      <w:pPr>
        <w:pStyle w:val="BodyText1"/>
      </w:pPr>
      <w:r>
        <w:rPr>
          <w:rFonts w:ascii="Traditional Arabic" w:hAnsi="Traditional Arabic" w:cs="Traditional Arabic" w:eastAsia="Traditional Arabic"/>
          <w:rtl/>
        </w:rPr>
        <w:t xml:space="preserve">الحاشية ٨: تيسير التحرير لأمير باد شاه (٢/ ١٣١). ← قوبل ٢ من النصوص المنقولة بلفظها على نص الصفحة المسترجعة من تراث (تيسير التحرير ٢/ ١٣١ (معرّف الصفحة ٥١٦، كتاب تراث رقم ٦٣٢٧))، ومنها: «واعتراض المعتزلة على التعريف المذكور لمطلق الحكم بأن الخطاب قديم عندكم والحكم حادث»، فوافقت.</w:t>
      </w:r>
    </w:p>
    <w:p>
      <w:pPr>
        <w:pStyle w:val="BodyText1"/>
      </w:pPr>
      <w:r>
        <w:rPr>
          <w:rFonts w:ascii="Traditional Arabic" w:hAnsi="Traditional Arabic" w:cs="Traditional Arabic" w:eastAsia="Traditional Arabic"/>
          <w:rtl/>
        </w:rPr>
        <w:t xml:space="preserve">الحاشية ٩: المستصفى (ص: ٦٨). ← قوبل ١ من النصوص المنقولة بلفظها على نص الصفحة المسترجعة من تراث (المستصفى ١/ ٦٨ (معرّف الصفحة ٦٦، كتاب تراث رقم ٥٤٥٩))، ومنها: «فكذلك المعنى القائم بذات الله تعالى الذي هو اقتضاء الطاعة من العباد قديم تعلق بعباده على تقدير ...»، فوافقت.</w:t>
      </w:r>
    </w:p>
    <w:p>
      <w:pPr>
        <w:pStyle w:val="BodyText1"/>
      </w:pPr>
      <w:r>
        <w:rPr>
          <w:rFonts w:ascii="Traditional Arabic" w:hAnsi="Traditional Arabic" w:cs="Traditional Arabic" w:eastAsia="Traditional Arabic"/>
          <w:rtl/>
        </w:rPr>
        <w:t xml:space="preserve">الحاشية ١٠: تيسير التحرير (٢/ ١٣٢). ← قوبل ١ من النصوص المنقولة بلفظها على نص الصفحة المسترجعة من تراث (تيسير التحرير ٢/ ١٣٢ (معرّف الصفحة ٥١٧، كتاب تراث رقم ٦٣٢٧))، ومنها: «وكل منهما قديم وعند بروز أثره في الوجود يحدث تعلق آخر»، فوافقت.</w:t>
      </w:r>
    </w:p>
    <w:p>
      <w:pPr>
        <w:pStyle w:val="BodyText1"/>
      </w:pPr>
      <w:r>
        <w:rPr>
          <w:rFonts w:ascii="Traditional Arabic" w:hAnsi="Traditional Arabic" w:cs="Traditional Arabic" w:eastAsia="Traditional Arabic"/>
          <w:rtl/>
        </w:rPr>
        <w:t xml:space="preserve">الحاشية ١١: تيسير التحرير (٢/ ١٣١). ← قوبل ١ من النصوص المنقولة بلفظها على نص الصفحة المسترجعة من تراث (تيسير التحرير ٢/ ١٣١ (معرّف الصفحة ٥١٦، كتاب تراث رقم ٦٣٢٧))، ومنها: «ولا استحالة في طلب كذا من المعدوم إذ لم يطلب منه في حال عدمه بل طلب منه أن يفعله بعد الوجود وال...»، فوافقت.</w:t>
      </w:r>
    </w:p>
    <w:p>
      <w:pPr>
        <w:pStyle w:val="BodyText1"/>
      </w:pPr>
      <w:r>
        <w:rPr>
          <w:rFonts w:ascii="Traditional Arabic" w:hAnsi="Traditional Arabic" w:cs="Traditional Arabic" w:eastAsia="Traditional Arabic"/>
          <w:rtl/>
        </w:rPr>
        <w:t xml:space="preserve">الحاشية ١٢: المحصول للرازي (١/ ١٥٩). ← قوبل ١ من النصوص المنقولة بلفظها على نص الصفحة المسترجعة من تراث (المحصول ١/ ١٥٩ (معرّف الصفحة ١٤٢، كتاب تراث رقم ٢٠٢٢))، ومنها: «وهذا الوقف تارة يفسر بأنه لا حكم وهذا لا يكون وقفا بل قطعا بعدم الحكم وتارة بأنا لا ندري هل هنا...»، فوافقت.</w:t>
      </w:r>
    </w:p>
    <w:p>
      <w:pPr>
        <w:pStyle w:val="BodyText1"/>
      </w:pPr>
      <w:r>
        <w:rPr>
          <w:rFonts w:ascii="Traditional Arabic" w:hAnsi="Traditional Arabic" w:cs="Traditional Arabic" w:eastAsia="Traditional Arabic"/>
          <w:rtl/>
        </w:rPr>
        <w:t xml:space="preserve">#٥ أولا: النص محل الاستنباط</w:t>
      </w:r>
    </w:p>
    <w:p>
      <w:pPr>
        <w:pStyle w:val="BodyText1"/>
      </w:pPr>
      <w:r>
        <w:rPr>
          <w:rFonts w:ascii="Traditional Arabic" w:hAnsi="Traditional Arabic" w:cs="Traditional Arabic" w:eastAsia="Traditional Arabic"/>
          <w:rtl/>
        </w:rPr>
        <w:t xml:space="preserve">الحاشية ١٣: الإبهاج (٢/ ٣٠١). ← قوبل ١ من النصوص المنقولة بلفظها على نص الصفحة المسترجعة من تراث (الإبهاج ٢/ ٣٠١ (معرّف الصفحة ٦٦٦، كتاب تراث رقم ١٤٧١٠٤))، ومنها: «وقد وصل والدي الشيخ الإمام جزاه الله الخير إلى مسألة مقدمة الواجب، ونحن نتلوه»، فوافقت.</w:t>
      </w:r>
    </w:p>
    <w:p>
      <w:pPr>
        <w:pStyle w:val="BodyText1"/>
      </w:pPr>
      <w:r>
        <w:rPr>
          <w:rFonts w:ascii="Traditional Arabic" w:hAnsi="Traditional Arabic" w:cs="Traditional Arabic" w:eastAsia="Traditional Arabic"/>
          <w:rtl/>
        </w:rPr>
        <w:t xml:space="preserve">الحاشية ١٤: الإبهاج (٢/ ٣٠٣). ← قوبل ١ من النصوص المنقولة بلفظها على نص الصفحة المسترجعة من تراث (الإبهاج ٢/ ٣٠٣ (معرّف الصفحة ٦٦٨، كتاب تراث رقم ١٤٧١٠٤))، ومنها: «قلت: هذا ما وقف عنده والدي أطال الله عمره، ومن هنا أبتدئ»، فوافقت.</w:t>
      </w:r>
    </w:p>
    <w:p>
      <w:pPr>
        <w:pStyle w:val="BodyText1"/>
      </w:pPr>
      <w:r>
        <w:rPr>
          <w:rFonts w:ascii="Traditional Arabic" w:hAnsi="Traditional Arabic" w:cs="Traditional Arabic" w:eastAsia="Traditional Arabic"/>
          <w:rtl/>
        </w:rPr>
        <w:t xml:space="preserve">الحاشية ١٥: إبراز الحكم من حديث رفع القلم لتقي الدين السبكي (١/ ٦٠). ← قوبل ١ من النصوص المنقولة بلفظها على نص الصفحة المسترجعة من تراث (إبراز الحكم ١/ ٦٠ (معرّف الصفحة ٣٦، كتاب تراث رقم ٨٤٦٦))، ومنها: «اتفق الفقهاء على أن النائم والصبي والمجنون يتعلق بهم خطاب الوضع من ضمان المتلفات وأروش الجنايات...»، فوافقت.</w:t>
      </w:r>
    </w:p>
    <w:p>
      <w:pPr>
        <w:pStyle w:val="BodyText1"/>
      </w:pPr>
      <w:r>
        <w:rPr>
          <w:rFonts w:ascii="Traditional Arabic" w:hAnsi="Traditional Arabic" w:cs="Traditional Arabic" w:eastAsia="Traditional Arabic"/>
          <w:rtl/>
        </w:rPr>
        <w:t xml:space="preserve">الحاشية ١٦: إبراز الحكم (١/ ٦٠). ← قوبل ١ من النصوص المنقولة بلفظها على نص الصفحة المسترجعة من تراث (إبراز الحكم ١/ ٦٠ (معرّف الصفحة ٣٦، كتاب تراث رقم ٨٤٦٦))، ومنها: «ولا ينافي ذلك كون الحكم قديما، ولا كون تعلقه أيضا قديما عند من يقول بأن التعلق قديم، وهو المختا...»، فوافقت.</w:t>
      </w:r>
    </w:p>
    <w:p>
      <w:pPr>
        <w:pStyle w:val="BodyText1"/>
      </w:pPr>
      <w:r>
        <w:rPr>
          <w:rFonts w:ascii="Traditional Arabic" w:hAnsi="Traditional Arabic" w:cs="Traditional Arabic" w:eastAsia="Traditional Arabic"/>
          <w:rtl/>
        </w:rPr>
        <w:t xml:space="preserve">الحاشية ١٧: إبراز الحكم (١/ ٦٠). ← قوبل ١ من النصوص المنقولة بلفظها على نص الصفحة المسترجعة من تراث (إبراز الحكم ١/ ٦٠ (معرّف الصفحة ٣٦، كتاب تراث رقم ٨٤٦٦))، ومنها: «وإنما لم يقدح في ذلك؛ لأن المقصود هنا التعلق الذي يوجد أثره في المحكوم عليه، وذلك منتف قبل البع...»، فوافقت.</w:t>
      </w:r>
    </w:p>
    <w:p>
      <w:pPr>
        <w:pStyle w:val="BodyText1"/>
      </w:pPr>
      <w:r>
        <w:rPr>
          <w:rFonts w:ascii="Traditional Arabic" w:hAnsi="Traditional Arabic" w:cs="Traditional Arabic" w:eastAsia="Traditional Arabic"/>
          <w:rtl/>
        </w:rPr>
        <w:t xml:space="preserve">الحاشية ١٨: إبراز الحكم (١/ ٦٠). ← قوبل ١ من النصوص المنقولة بلفظها على نص الصفحة المسترجعة من تراث (إبراز الحكم ١/ ٦٠ (معرّف الصفحة ٣٦، كتاب تراث رقم ٨٤٦٦))، ومنها: «إذا عرفت هذا فانتفاؤه قبل البعثة عام في خطاب التكليف وخطاب الوضع جميعا، ولا يثبت شيء من الأحكام...»، فوافقت.</w:t>
      </w:r>
    </w:p>
    <w:p>
      <w:pPr>
        <w:pStyle w:val="BodyText1"/>
      </w:pPr>
      <w:r>
        <w:rPr>
          <w:rFonts w:ascii="Traditional Arabic" w:hAnsi="Traditional Arabic" w:cs="Traditional Arabic" w:eastAsia="Traditional Arabic"/>
          <w:rtl/>
        </w:rPr>
        <w:t xml:space="preserve">الحاشية ١٩: إبراز الحكم (١/ ٦٠). ← قوبل ٣ من النصوص المنقولة بلفظها على نص الصفحة المسترجعة من تراث (إبراز الحكم ١/ ٦٠ (معرّف الصفحة ٣٦، كتاب تراث رقم ٨٤٦٦))، ومنها: «أما بعد البعثة فقد عرفت أن خطاب الوضع ثابت في حق الجميع، وخطاب الندب ثابت في حق الصبي على الصحي...»، فوافقت.</w:t>
      </w:r>
    </w:p>
    <w:p>
      <w:pPr>
        <w:pStyle w:val="BodyText1"/>
      </w:pPr>
      <w:r>
        <w:rPr>
          <w:rFonts w:ascii="Traditional Arabic" w:hAnsi="Traditional Arabic" w:cs="Traditional Arabic" w:eastAsia="Traditional Arabic"/>
          <w:rtl/>
        </w:rPr>
        <w:t xml:space="preserve">الحاشية ٢٠: فتاوى السبكي (١/ ٣٠). ← قوبل ١ من النصوص المنقولة بلفظها على نص الصفحة المسترجعة من تراث (فتاوى السبكي ١/ ٣٠ (معرّف الصفحة ٢٨، كتاب تراث رقم ١١٤٩٨))، ومنها: «ولك أن تخرج ذلك على خلاف في الأصول؛ فقول الأخفش يتخرج على أن التكليف أزلي، والقولان الآخران على...»، فوافقت.</w:t>
      </w:r>
    </w:p>
    <w:p>
      <w:pPr>
        <w:pStyle w:val="BodyText1"/>
      </w:pPr>
      <w:r>
        <w:rPr>
          <w:rFonts w:ascii="Traditional Arabic" w:hAnsi="Traditional Arabic" w:cs="Traditional Arabic" w:eastAsia="Traditional Arabic"/>
          <w:rtl/>
        </w:rPr>
        <w:t xml:space="preserve">الحاشية ٢١: تكملة المجموع للسبكي، قطعة جديدة (٣/ ٣٤٥). ← قوبل ٣ من النصوص المنقولة بلفظها على نص الصفحة المسترجعة من تراث (تكملة المجموع ٣/ ٣٤٥ (معرّف الصفحة ١٥٥١، كتاب تراث رقم ٣٠٠٨٣))، ومنها: «واعلم أن الأدلة في حال الخمر قبل تحريمها متعارضة»، فوافقت.</w:t>
      </w:r>
    </w:p>
    <w:p>
      <w:pPr>
        <w:pStyle w:val="BodyText1"/>
      </w:pPr>
      <w:r>
        <w:rPr>
          <w:rFonts w:ascii="Traditional Arabic" w:hAnsi="Traditional Arabic" w:cs="Traditional Arabic" w:eastAsia="Traditional Arabic"/>
          <w:rtl/>
        </w:rPr>
        <w:t xml:space="preserve">الحاشية ٢٢: فتاوى السبكي (٢/ ٦٢٥). ← قوبل ١ من النصوص المنقولة بلفظها على نص الصفحة المسترجعة من تراث (فتاوى السبكي ٢/ ٦٢٥ (معرّف الصفحة ١١٣٩، كتاب تراث رقم ١١٤٩٨))، ومنها: «وهذا كله على مذهبنا في أن الأحكام كلها أصولها وفروعها لا تثبت إلا بالشرع»، فوافقت.</w:t>
      </w:r>
    </w:p>
    <w:p>
      <w:pPr>
        <w:pStyle w:val="BodyText1"/>
      </w:pPr>
      <w:r>
        <w:rPr>
          <w:rFonts w:ascii="Traditional Arabic" w:hAnsi="Traditional Arabic" w:cs="Traditional Arabic" w:eastAsia="Traditional Arabic"/>
          <w:rtl/>
        </w:rPr>
        <w:t xml:space="preserve">#٥ ثانيا: صياغة القاعدة ومعناها</w:t>
      </w:r>
    </w:p>
    <w:p>
      <w:pPr>
        <w:pStyle w:val="BodyText1"/>
      </w:pPr>
      <w:r>
        <w:rPr>
          <w:rFonts w:ascii="Traditional Arabic" w:hAnsi="Traditional Arabic" w:cs="Traditional Arabic" w:eastAsia="Traditional Arabic"/>
          <w:rtl/>
        </w:rPr>
        <w:t xml:space="preserve">الحاشية ٢٣: إبراز الحكم (١/ ٦٠). ← قوبل ١ من النصوص المنقولة بلفظها على نص الصفحة المسترجعة من تراث (إبراز الحكم ١/ ٦٠ (معرّف الصفحة ٣٦، كتاب تراث رقم ٨٤٦٦))، ومنها: «ولا ينافي ذلك كون الحكم قديما»، فوافقت.</w:t>
      </w:r>
    </w:p>
    <w:p>
      <w:pPr>
        <w:pStyle w:val="BodyText1"/>
      </w:pPr>
      <w:r>
        <w:rPr>
          <w:rFonts w:ascii="Traditional Arabic" w:hAnsi="Traditional Arabic" w:cs="Traditional Arabic" w:eastAsia="Traditional Arabic"/>
          <w:rtl/>
        </w:rPr>
        <w:t xml:space="preserve">الحاشية ٢٤: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الحاشية ٢٥: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الحاشية ٢٦: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الحاشية ٢٧: تكملة المجموع للسبكي، قطعة جديدة (٣/ ٣٤٥). ← عزو توثيقي لا نقل بلفظه فيه؛ فتحت صفحته وقرأتها (تكملة المجموع ٣/ ٣٤٥ (معرّف الصفحة ١٥٥١، كتاب تراث رقم ٣٠٠٨٣))، وقابلت ما نسب فيه على المكتوب فوافق.</w:t>
      </w:r>
    </w:p>
    <w:p>
      <w:pPr>
        <w:pStyle w:val="BodyText1"/>
      </w:pPr>
      <w:r>
        <w:rPr>
          <w:rFonts w:ascii="Traditional Arabic" w:hAnsi="Traditional Arabic" w:cs="Traditional Arabic" w:eastAsia="Traditional Arabic"/>
          <w:rtl/>
        </w:rPr>
        <w:t xml:space="preserve">الحاشية ٢٨: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#٥ ثالثا: تحرير محل النزاع والأقوال</w:t>
      </w:r>
    </w:p>
    <w:p>
      <w:pPr>
        <w:pStyle w:val="BodyText1"/>
      </w:pPr>
      <w:r>
        <w:rPr>
          <w:rFonts w:ascii="Traditional Arabic" w:hAnsi="Traditional Arabic" w:cs="Traditional Arabic" w:eastAsia="Traditional Arabic"/>
          <w:rtl/>
        </w:rPr>
        <w:t xml:space="preserve">الحاشية ٢٩: المستصفى (ص: ٤٥). ← قوبل ١ من النصوص المنقولة بلفظها على نص الصفحة المسترجعة من تراث (المستصفى ١/ ٤٥ (معرّف الصفحة ٤٣، كتاب تراث رقم ٥٤٥٩))، ومنها: «فإن لم يوجد هذا الخطاب من الشارع فلا حكم»، فوافقت.</w:t>
      </w:r>
    </w:p>
    <w:p>
      <w:pPr>
        <w:pStyle w:val="BodyText1"/>
      </w:pPr>
      <w:r>
        <w:rPr>
          <w:rFonts w:ascii="Traditional Arabic" w:hAnsi="Traditional Arabic" w:cs="Traditional Arabic" w:eastAsia="Traditional Arabic"/>
          <w:rtl/>
        </w:rPr>
        <w:t xml:space="preserve">الحاشية ٣٠: المحصول للرازي (١/ ١٥٩). ← قوبل ١ من النصوص المنقولة بلفظها على نص الصفحة المسترجعة من تراث (المحصول ١/ ١٥٩ (معرّف الصفحة ١٤٢، كتاب تراث رقم ٢٠٢٢))، ومنها: «لنا أن قبل الشرع ما ورد خطاب الشرع فوجب أن لا يثبت شئ من»، فوافقت.</w:t>
      </w:r>
    </w:p>
    <w:p>
      <w:pPr>
        <w:pStyle w:val="BodyText1"/>
      </w:pPr>
      <w:r>
        <w:rPr>
          <w:rFonts w:ascii="Traditional Arabic" w:hAnsi="Traditional Arabic" w:cs="Traditional Arabic" w:eastAsia="Traditional Arabic"/>
          <w:rtl/>
        </w:rPr>
        <w:t xml:space="preserve">الحاشية ٣١: المحصول للرازي (١/ ١٥٨ - ١٥٩). ← قوبل ٢ من النصوص المنقولة بلفظها على نص الصفحة المسترجعة من تراث (المحصول ١/ ١٥٨ (معرّف الصفحة ١٤١، كتاب تراث رقم ٢٠٢٢)؛ المحصول ١/ ١٥٩ (معرّف الصفحة ١٤٢، كتاب تراث رقم ٢٠٢٢))، ومنها: «فعند المعتزلة البصرية وطائفة من فقهاء الشافعية والحنفية أنها على الإباحة وعند المعتزلة البغدادي...»، فوافقت.</w:t>
      </w:r>
    </w:p>
    <w:p>
      <w:pPr>
        <w:pStyle w:val="BodyText1"/>
      </w:pPr>
      <w:r>
        <w:rPr>
          <w:rFonts w:ascii="Traditional Arabic" w:hAnsi="Traditional Arabic" w:cs="Traditional Arabic" w:eastAsia="Traditional Arabic"/>
          <w:rtl/>
        </w:rPr>
        <w:t xml:space="preserve">الحاشية ٣٢: البحر المحيط في أصول الفقه للزركشي (١/ ٢٠٧). ← قوبل ٢ من النصوص المنقولة بلفظها على نص الصفحة المسترجعة من تراث (البحر المحيط ١/ ٢٠٧ (معرّف الصفحة ٢٠٥، كتاب تراث رقم ٢١٥٩٣))، ومنها: «وممن صرح بأن المراد بالوقف انتفاء الحكم لا التردد في أن الأمر ما هو أبو نصر بن القشيري، وأبو ال...»، فوافقت.</w:t>
      </w:r>
    </w:p>
    <w:p>
      <w:pPr>
        <w:pStyle w:val="BodyText1"/>
      </w:pPr>
      <w:r>
        <w:rPr>
          <w:rFonts w:ascii="Traditional Arabic" w:hAnsi="Traditional Arabic" w:cs="Traditional Arabic" w:eastAsia="Traditional Arabic"/>
          <w:rtl/>
        </w:rPr>
        <w:t xml:space="preserve">الحاشية ٣٣: البحر المحيط (١/ ٢٠٩). ← قوبل ١ من النصوص المنقولة بلفظها على نص الصفحة المسترجعة من تراث (البحر المحيط ١/ ٢٠٩ (معرّف الصفحة ٢٠٧، كتاب تراث رقم ٢١٥٩٣))، ومنها: «الراجح عندنا الوقف. ونعني به القطع على أن لا حكم لله سبحانه في حقنا»، فوافقت.</w:t>
      </w:r>
    </w:p>
    <w:p>
      <w:pPr>
        <w:pStyle w:val="BodyText1"/>
      </w:pPr>
      <w:r>
        <w:rPr>
          <w:rFonts w:ascii="Traditional Arabic" w:hAnsi="Traditional Arabic" w:cs="Traditional Arabic" w:eastAsia="Traditional Arabic"/>
          <w:rtl/>
        </w:rPr>
        <w:t xml:space="preserve">الحاشية ٣٤: الإبهاج (٢/ ٣٧٩). ← قوبل ١ من النصوص المنقولة بلفظها على نص الصفحة المسترجعة من تراث (الإبهاج ٢/ ٣٧٩ (معرّف الصفحة ٧٤٣، كتاب تراث رقم ١٤٧١٠٤))، ومنها: «والأولى: أن يفسره بعدم العلم؛ لأن الحكم قديم عنده»، فوافقت.</w:t>
      </w:r>
    </w:p>
    <w:p>
      <w:pPr>
        <w:pStyle w:val="BodyText1"/>
      </w:pPr>
      <w:r>
        <w:rPr>
          <w:rFonts w:ascii="Traditional Arabic" w:hAnsi="Traditional Arabic" w:cs="Traditional Arabic" w:eastAsia="Traditional Arabic"/>
          <w:rtl/>
        </w:rPr>
        <w:t xml:space="preserve">الحاشية ٣٥: الإبهاج (٢/ ٣٨٠). ← قوبل ١ من النصوص المنقولة بلفظها على نص الصفحة المسترجعة من تراث (الإبهاج ٢/ ٣٨٠ (معرّف الصفحة ٧٤٤، كتاب تراث رقم ١٤٧١٠٤))، ومنها: «وقد ذهب أهل السنة والجماعة إلى أنه لا حكم فيها؛ لأن الحكم عندهم عبارة عن الخطاب على ما تقدم تفس...»، فوافقت.</w:t>
      </w:r>
    </w:p>
    <w:p>
      <w:pPr>
        <w:pStyle w:val="BodyText1"/>
      </w:pPr>
      <w:r>
        <w:rPr>
          <w:rFonts w:ascii="Traditional Arabic" w:hAnsi="Traditional Arabic" w:cs="Traditional Arabic" w:eastAsia="Traditional Arabic"/>
          <w:rtl/>
        </w:rPr>
        <w:t xml:space="preserve">الحاشية ٣٦: البرهان في أصول الفقه للجويني (١/ ١٣). ← قوبل ١ من النصوص المنقولة بلفظها على نص الصفحة المسترجعة من تراث (البرهان ١/ ١٣ (معرّف الصفحة ٧، كتاب تراث رقم ٧٤٣٩))، ومنها: «لا حكم على العقلاء قبل ورود الشرع بناء على أن الأحكام هي الشرائع بأعيانها وليست الأحكام صفات لل...»، فوافقت.</w:t>
      </w:r>
    </w:p>
    <w:p>
      <w:pPr>
        <w:pStyle w:val="BodyText1"/>
      </w:pPr>
      <w:r>
        <w:rPr>
          <w:rFonts w:ascii="Traditional Arabic" w:hAnsi="Traditional Arabic" w:cs="Traditional Arabic" w:eastAsia="Traditional Arabic"/>
          <w:rtl/>
        </w:rPr>
        <w:t xml:space="preserve">الحاشية ٣٧: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الحاشية ٣٨: البحر المحيط (١/ ٢٠٩). ← قوبل ١ من النصوص المنقولة بلفظها على نص الصفحة المسترجعة من تراث (البحر المحيط ١/ ٢٠٩ (معرّف الصفحة ٢٠٧، كتاب تراث رقم ٢١٥٩٣))، ومنها: «فإنهم يقولون المدرك عندنا العقل ولا يضرنا عدم ورود الشرع»، فوافقت.</w:t>
      </w:r>
    </w:p>
    <w:p>
      <w:pPr>
        <w:pStyle w:val="BodyText1"/>
      </w:pPr>
      <w:r>
        <w:rPr>
          <w:rFonts w:ascii="Traditional Arabic" w:hAnsi="Traditional Arabic" w:cs="Traditional Arabic" w:eastAsia="Traditional Arabic"/>
          <w:rtl/>
        </w:rPr>
        <w:t xml:space="preserve">الحاشية ٣٩: فتاوى السبكي (٢/ ٥٢٢). ← قوبل ١ من النصوص المنقولة بلفظها على نص الصفحة المسترجعة من تراث (فتاوى السبكي ٢/ ٥٢٢ (معرّف الصفحة ١٠٣٦، كتاب تراث رقم ١١٤٩٨))، ومنها: «العقل لا يوجب ذلك»، فوافقت.</w:t>
      </w:r>
    </w:p>
    <w:p>
      <w:pPr>
        <w:pStyle w:val="BodyText1"/>
      </w:pPr>
      <w:r>
        <w:rPr>
          <w:rFonts w:ascii="Traditional Arabic" w:hAnsi="Traditional Arabic" w:cs="Traditional Arabic" w:eastAsia="Traditional Arabic"/>
          <w:rtl/>
        </w:rPr>
        <w:t xml:space="preserve">الحاشية ٤٠: تيسير التحرير (٢/ ١٣١). ← قوبل ٢ من النصوص المنقولة بلفظها على نص الصفحة المسترجعة من تراث (تيسير التحرير ٢/ ١٣١ (معرّف الصفحة ٥١٦، كتاب تراث رقم ٦٣٢٧))، ومنها: «الخطاب قديم عندكم والحكم حادث»، فوافقت.</w:t>
      </w:r>
    </w:p>
    <w:p>
      <w:pPr>
        <w:pStyle w:val="BodyText1"/>
      </w:pPr>
      <w:r>
        <w:rPr>
          <w:rFonts w:ascii="Traditional Arabic" w:hAnsi="Traditional Arabic" w:cs="Traditional Arabic" w:eastAsia="Traditional Arabic"/>
          <w:rtl/>
        </w:rPr>
        <w:t xml:space="preserve">الحاشية ٤١: الإبهاج (٢/ ٣٧٩). ← قوبل ٢ من النصوص المنقولة بلفظها على نص الصفحة المسترجعة من تراث (الإبهاج ٢/ ٣٧٩ (معرّف الصفحة ٧٤٣، كتاب تراث رقم ١٤٧١٠٤))، ومنها: «وتوقف الشيخ والصيرفي»، فوافقت.</w:t>
      </w:r>
    </w:p>
    <w:p>
      <w:pPr>
        <w:pStyle w:val="BodyText1"/>
      </w:pPr>
      <w:r>
        <w:rPr>
          <w:rFonts w:ascii="Traditional Arabic" w:hAnsi="Traditional Arabic" w:cs="Traditional Arabic" w:eastAsia="Traditional Arabic"/>
          <w:rtl/>
        </w:rPr>
        <w:t xml:space="preserve">الحاشية ٤٢: الإبهاج (٢/ ٣٨٠). ← قوبل ١ من النصوص المنقولة بلفظها على نص الصفحة المسترجعة من تراث (الإبهاج ٢/ ٣٨٠ (معرّف الصفحة ٧٤٤، كتاب تراث رقم ١٤٧١٠٤))، ومنها: «لتجويزه التكليف بالمحال»، فوافقت.</w:t>
      </w:r>
    </w:p>
    <w:p>
      <w:pPr>
        <w:pStyle w:val="BodyText1"/>
      </w:pPr>
      <w:r>
        <w:rPr>
          <w:rFonts w:ascii="Traditional Arabic" w:hAnsi="Traditional Arabic" w:cs="Traditional Arabic" w:eastAsia="Traditional Arabic"/>
          <w:rtl/>
        </w:rPr>
        <w:t xml:space="preserve">الحاشية ٤٣: المحصول للرازي (١/ ١٥٩). ← قوبل ١ من النصوص المنقولة بلفظها على نص الصفحة المسترجعة من تراث (المحصول ١/ ١٥٩ (معرّف الصفحة ١٤٢، كتاب تراث رقم ٢٠٢٢))، ومنها: «أبي الحسن الأشعري وأبي بكر الصيرفي»، فوافقت.</w:t>
      </w:r>
    </w:p>
    <w:p>
      <w:pPr>
        <w:pStyle w:val="BodyText1"/>
      </w:pPr>
      <w:r>
        <w:rPr>
          <w:rFonts w:ascii="Traditional Arabic" w:hAnsi="Traditional Arabic" w:cs="Traditional Arabic" w:eastAsia="Traditional Arabic"/>
          <w:rtl/>
        </w:rPr>
        <w:t xml:space="preserve">الحاشية ٤٤: البحر المحيط (١/ ٢٠٩). ← قوبل ١ من النصوص المنقولة بلفظها على نص الصفحة المسترجعة من تراث (البحر المحيط ١/ ٢٠٩ (معرّف الصفحة ٢٠٧، كتاب تراث رقم ٢١٥٩٣))، ومنها: «واعلم أن من قال من أصحابنا بالحظر أو الإباحة ليس موافقا للمعتزلة على أصولهم بل لمدرك شرعي»، فوافقت.</w:t>
      </w:r>
    </w:p>
    <w:p>
      <w:pPr>
        <w:pStyle w:val="BodyText1"/>
      </w:pPr>
      <w:r>
        <w:rPr>
          <w:rFonts w:ascii="Traditional Arabic" w:hAnsi="Traditional Arabic" w:cs="Traditional Arabic" w:eastAsia="Traditional Arabic"/>
          <w:rtl/>
        </w:rPr>
        <w:t xml:space="preserve">الحاشية ٤٥: المستصفى (ص: ٩٩). ← قوبل ٢ من النصوص المنقولة بلفظها على نص الصفحة المسترجعة من تراث (المستصفى ١/ ٩٩ (معرّف الصفحة ٩٧، كتاب تراث رقم ٥٤٥٩))، ومنها: «والموجب للحكم كلام الله تعالى القديم ولا ينعدم ولا يتصور رفعه ونسخه»، فوافقت.</w:t>
      </w:r>
    </w:p>
    <w:p>
      <w:pPr>
        <w:pStyle w:val="BodyText1"/>
      </w:pPr>
      <w:r>
        <w:rPr>
          <w:rFonts w:ascii="Traditional Arabic" w:hAnsi="Traditional Arabic" w:cs="Traditional Arabic" w:eastAsia="Traditional Arabic"/>
          <w:rtl/>
        </w:rPr>
        <w:t xml:space="preserve">الحاشية ٤٦: تكملة المجموع للسبكي، قطعة جديدة (٣/ ٣٤٥). ← عزو توثيقي لا نقل بلفظه فيه؛ فتحت صفحته وقرأتها (تكملة المجموع ٣/ ٣٤٥ (معرّف الصفحة ١٥٥١، كتاب تراث رقم ٣٠٠٨٣))، وقابلت ما نسب فيه على المكتوب فوافق.</w:t>
      </w:r>
    </w:p>
    <w:p>
      <w:pPr>
        <w:pStyle w:val="BodyText1"/>
      </w:pPr>
      <w:r>
        <w:rPr>
          <w:rFonts w:ascii="Traditional Arabic" w:hAnsi="Traditional Arabic" w:cs="Traditional Arabic" w:eastAsia="Traditional Arabic"/>
          <w:rtl/>
        </w:rPr>
        <w:t xml:space="preserve">#٥ رابعا: وجه استنباط السبكي</w:t>
      </w:r>
    </w:p>
    <w:p>
      <w:pPr>
        <w:pStyle w:val="BodyText1"/>
      </w:pPr>
      <w:r>
        <w:rPr>
          <w:rFonts w:ascii="Traditional Arabic" w:hAnsi="Traditional Arabic" w:cs="Traditional Arabic" w:eastAsia="Traditional Arabic"/>
          <w:rtl/>
        </w:rPr>
        <w:t xml:space="preserve">الحاشية ٤٧: إبراز الحكم (١/ ٦٠). ← قوبل ١ من النصوص المنقولة بلفظها على نص الصفحة المسترجعة من تراث (إبراز الحكم ١/ ٦٠ (معرّف الصفحة ٣٦، كتاب تراث رقم ٨٤٦٦))، ومنها: «ليسوا بمنزلة البهيمة التي لم يتعلق بها حكم ألبتة، ولا بمنزلة الآدميين قبل البعثة»، فوافقت.</w:t>
      </w:r>
    </w:p>
    <w:p>
      <w:pPr>
        <w:pStyle w:val="BodyText1"/>
      </w:pPr>
      <w:r>
        <w:rPr>
          <w:rFonts w:ascii="Traditional Arabic" w:hAnsi="Traditional Arabic" w:cs="Traditional Arabic" w:eastAsia="Traditional Arabic"/>
          <w:rtl/>
        </w:rPr>
        <w:t xml:space="preserve">الحاشية ٤٨: إبراز الحكم (١/ ٦٠). ← قوبل ١ من النصوص المنقولة بلفظها على نص الصفحة المسترجعة من تراث (إبراز الحكم ١/ ٦٠ (معرّف الصفحة ٣٦، كتاب تراث رقم ٨٤٦٦))، ومنها: «لم أر من تكلم في ذلك»، فوافقت.</w:t>
      </w:r>
    </w:p>
    <w:p>
      <w:pPr>
        <w:pStyle w:val="BodyText1"/>
      </w:pPr>
      <w:r>
        <w:rPr>
          <w:rFonts w:ascii="Traditional Arabic" w:hAnsi="Traditional Arabic" w:cs="Traditional Arabic" w:eastAsia="Traditional Arabic"/>
          <w:rtl/>
        </w:rPr>
        <w:t xml:space="preserve">الحاشية ٤٩: إبراز الحكم (١/ ٦٠). ← قوبل ١ من النصوص المنقولة بلفظها على نص الصفحة المسترجعة من تراث (إبراز الحكم ١/ ٦٠ (معرّف الصفحة ٣٦، كتاب تراث رقم ٨٤٦٦))، ومنها: «المقصود هنا التعلق الذي يوجد أثره في المحكوم عليه، وذلك منتف قبل البعثة قطعا»، فوافقت.</w:t>
      </w:r>
    </w:p>
    <w:p>
      <w:pPr>
        <w:pStyle w:val="BodyText1"/>
      </w:pPr>
      <w:r>
        <w:rPr>
          <w:rFonts w:ascii="Traditional Arabic" w:hAnsi="Traditional Arabic" w:cs="Traditional Arabic" w:eastAsia="Traditional Arabic"/>
          <w:rtl/>
        </w:rPr>
        <w:t xml:space="preserve">الحاشية ٥٠: فتاوى السبكي (١/ ٣٠). ← قوبل ٣ من النصوص المنقولة بلفظها على نص الصفحة المسترجعة من تراث (فتاوى السبكي ١/ ٣٠ (معرّف الصفحة ٢٨، كتاب تراث رقم ١١٤٩٨))، ومنها: «التكليف أزلي»، فوافقت.</w:t>
      </w:r>
    </w:p>
    <w:p>
      <w:pPr>
        <w:pStyle w:val="BodyText1"/>
      </w:pPr>
      <w:r>
        <w:rPr>
          <w:rFonts w:ascii="Traditional Arabic" w:hAnsi="Traditional Arabic" w:cs="Traditional Arabic" w:eastAsia="Traditional Arabic"/>
          <w:rtl/>
        </w:rPr>
        <w:t xml:space="preserve">الحاشية ٥١: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الحاشية ٥٢: البحر المحيط (١/ ٢٠٩). ← قوبل ١ من النصوص المنقولة بلفظها على نص الصفحة المسترجعة من تراث (البحر المحيط ١/ ٢٠٩ (معرّف الصفحة ٢٠٧، كتاب تراث رقم ٢١٥٩٣))، ومنها: «ونعني به القطع على أن لا حكم لله سبحانه في حقنا»، فوافقت.</w:t>
      </w:r>
    </w:p>
    <w:p>
      <w:pPr>
        <w:pStyle w:val="BodyText1"/>
      </w:pPr>
      <w:r>
        <w:rPr>
          <w:rFonts w:ascii="Traditional Arabic" w:hAnsi="Traditional Arabic" w:cs="Traditional Arabic" w:eastAsia="Traditional Arabic"/>
          <w:rtl/>
        </w:rPr>
        <w:t xml:space="preserve">الحاشية ٥٣: إبراز الحكم (١/ ٦٠). ← قوبل ١ من النصوص المنقولة بلفظها على نص الصفحة المسترجعة من تراث (إبراز الحكم ١/ ٦٠ (معرّف الصفحة ٣٦، كتاب تراث رقم ٨٤٦٦))، ومنها: «وحكمنا بذلك حكم عقلي لا شرعي»، فوافقت.</w:t>
      </w:r>
    </w:p>
    <w:p>
      <w:pPr>
        <w:pStyle w:val="BodyText1"/>
      </w:pPr>
      <w:r>
        <w:rPr>
          <w:rFonts w:ascii="Traditional Arabic" w:hAnsi="Traditional Arabic" w:cs="Traditional Arabic" w:eastAsia="Traditional Arabic"/>
          <w:rtl/>
        </w:rPr>
        <w:t xml:space="preserve">الحاشية ٥٤: فتاوى السبكي (٢/ ٦٢٥). ← عزو توثيقي لا نقل بلفظه فيه؛ فتحت صفحته وقرأتها (فتاوى السبكي ٢/ ٦٢٥ (معرّف الصفحة ١١٣٩،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٥٥: البحر المحيط (١/ ٢٠٩). ← قوبل ١ من النصوص المنقولة بلفظها على نص الصفحة المسترجعة من تراث (البحر المحيط ١/ ٢٠٩ (معرّف الصفحة ٢٠٧، كتاب تراث رقم ٢١٥٩٣))، ومنها: «المدرك عندنا العقل ولا يضرنا عدم ورود الشرع»، فوافقت.</w:t>
      </w:r>
    </w:p>
    <w:p>
      <w:pPr>
        <w:pStyle w:val="BodyText1"/>
      </w:pPr>
      <w:r>
        <w:rPr>
          <w:rFonts w:ascii="Traditional Arabic" w:hAnsi="Traditional Arabic" w:cs="Traditional Arabic" w:eastAsia="Traditional Arabic"/>
          <w:rtl/>
        </w:rPr>
        <w:t xml:space="preserve">الحاشية ٥٦: فتاوى السبكي (٢/ ٦٢٥). ← عزو توثيقي لا نقل بلفظه فيه؛ فتحت صفحته وقرأتها (فتاوى السبكي ٢/ ٦٢٥ (معرّف الصفحة ١١٣٩،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٥٧: المحصول للرازي (١/ ١٥٩). ← قوبل ١ من النصوص المنقولة بلفظها على نص الصفحة المسترجعة من تراث (المحصول ١/ ١٥٩ (معرّف الصفحة ١٤٢، كتاب تراث رقم ٢٠٢٢))، ومنها: «قطعا بعدم الحكم»، فوافقت.</w:t>
      </w:r>
    </w:p>
    <w:p>
      <w:pPr>
        <w:pStyle w:val="BodyText1"/>
      </w:pPr>
      <w:r>
        <w:rPr>
          <w:rFonts w:ascii="Traditional Arabic" w:hAnsi="Traditional Arabic" w:cs="Traditional Arabic" w:eastAsia="Traditional Arabic"/>
          <w:rtl/>
        </w:rPr>
        <w:t xml:space="preserve">الحاشية ٥٨: المستصفى (ص: ٦٨). ← قوبل ١ من النصوص المنقولة بلفظها على نص الصفحة المسترجعة من تراث (المستصفى ١/ ٦٨ (معرّف الصفحة ٦٦، كتاب تراث رقم ٥٤٥٩))، ومنها: «قديم تعلق بعباده على تقدير وجودهم»، فوافقت.</w:t>
      </w:r>
    </w:p>
    <w:p>
      <w:pPr>
        <w:pStyle w:val="BodyText1"/>
      </w:pPr>
      <w:r>
        <w:rPr>
          <w:rFonts w:ascii="Traditional Arabic" w:hAnsi="Traditional Arabic" w:cs="Traditional Arabic" w:eastAsia="Traditional Arabic"/>
          <w:rtl/>
        </w:rPr>
        <w:t xml:space="preserve">الحاشية ٥٩: إبراز الحكم (١/ ٦٠). ← قوبل ١ من النصوص المنقولة بلفظها على نص الصفحة المسترجعة من تراث (إبراز الحكم ١/ ٦٠ (معرّف الصفحة ٣٦، كتاب تراث رقم ٨٤٦٦))، ومنها: «ولا ينافي ذلك كون الحكم قديما»، فوافقت.</w:t>
      </w:r>
    </w:p>
    <w:p>
      <w:pPr>
        <w:pStyle w:val="BodyText1"/>
      </w:pPr>
      <w:r>
        <w:rPr>
          <w:rFonts w:ascii="Traditional Arabic" w:hAnsi="Traditional Arabic" w:cs="Traditional Arabic" w:eastAsia="Traditional Arabic"/>
          <w:rtl/>
        </w:rPr>
        <w:t xml:space="preserve">#٥ خامسا: تصريحه في مصنفاته الأخرى</w:t>
      </w:r>
    </w:p>
    <w:p>
      <w:pPr>
        <w:pStyle w:val="BodyText1"/>
      </w:pPr>
      <w:r>
        <w:rPr>
          <w:rFonts w:ascii="Traditional Arabic" w:hAnsi="Traditional Arabic" w:cs="Traditional Arabic" w:eastAsia="Traditional Arabic"/>
          <w:rtl/>
        </w:rPr>
        <w:t xml:space="preserve">#٥ سادسا: الترجيح وثمرة القاعدة</w:t>
      </w:r>
    </w:p>
    <w:p>
      <w:pPr>
        <w:pStyle w:val="BodyText1"/>
      </w:pPr>
      <w:r>
        <w:rPr>
          <w:rFonts w:ascii="Traditional Arabic" w:hAnsi="Traditional Arabic" w:cs="Traditional Arabic" w:eastAsia="Traditional Arabic"/>
          <w:rtl/>
        </w:rPr>
        <w:t xml:space="preserve">الحاشية ٦٠: المستصفى (ص: ٩٩). ← قوبل ١ من النصوص المنقولة بلفظها على نص الصفحة المسترجعة من تراث (المستصفى ١/ ٩٩ (معرّف الصفحة ٩٧، كتاب تراث رقم ٥٤٥٩))، ومنها: «الموجب للحكم كلام الله تعالى القديم»، فوافقت.</w:t>
      </w:r>
    </w:p>
    <w:p>
      <w:pPr>
        <w:pStyle w:val="BodyText1"/>
      </w:pPr>
      <w:r>
        <w:rPr>
          <w:rFonts w:ascii="Traditional Arabic" w:hAnsi="Traditional Arabic" w:cs="Traditional Arabic" w:eastAsia="Traditional Arabic"/>
          <w:rtl/>
        </w:rPr>
        <w:t xml:space="preserve">الحاشية ٦١: الإحكام للآمدي (٣/ ٢٩٢). ← قوبل ١ من النصوص المنقولة بلفظها على نص الصفحة المسترجعة من تراث (الإحكام للآمدي ٣/ ٢٩٢ (معرّف الصفحة ٩١٠، كتاب تراث رقم ١٠٨٠١))، ومنها: «الحكم ليس هو نفس الكلام القديم كما سبق تقريره بل الكلام بصفة التعلق فكان حادثا»، فوافقت.</w:t>
      </w:r>
    </w:p>
    <w:p>
      <w:pPr>
        <w:pStyle w:val="BodyText1"/>
      </w:pPr>
      <w:r>
        <w:rPr>
          <w:rFonts w:ascii="Traditional Arabic" w:hAnsi="Traditional Arabic" w:cs="Traditional Arabic" w:eastAsia="Traditional Arabic"/>
          <w:rtl/>
        </w:rPr>
        <w:t xml:space="preserve">الحاشية ٦٢: تيسير التحرير (٢/ ١٣١). ← قوبل ١ من النصوص المنقولة بلفظها على نص الصفحة المسترجعة من تراث (تيسير التحرير ٢/ ١٣١ (معرّف الصفحة ٥١٦، كتاب تراث رقم ٦٣٢٧))، ومنها: «والخلاف في خطاب المعدوم في الأزل لفظي»، فوافقت.</w:t>
      </w:r>
    </w:p>
    <w:p>
      <w:pPr>
        <w:pStyle w:val="BodyText1"/>
      </w:pPr>
      <w:r>
        <w:rPr>
          <w:rFonts w:ascii="Traditional Arabic" w:hAnsi="Traditional Arabic" w:cs="Traditional Arabic" w:eastAsia="Traditional Arabic"/>
          <w:rtl/>
        </w:rPr>
        <w:t xml:space="preserve">الحاشية ٦٣: إبراز الحكم (١/ ٦٠). ← عزو توثيقي لا نقل بلفظه فيه؛ فتحت صفحته وقرأتها (إبراز الحكم ١/ ٦٠ (معرّف الصفحة ٣٦، كتاب تراث رقم ٨٤٦٦))، وقابلت ما نسب فيه على المكتوب فوافق.</w:t>
      </w:r>
    </w:p>
    <w:p>
      <w:pPr>
        <w:pStyle w:val="BodyText1"/>
      </w:pPr>
      <w:r>
        <w:rPr>
          <w:rFonts w:ascii="Traditional Arabic" w:hAnsi="Traditional Arabic" w:cs="Traditional Arabic" w:eastAsia="Traditional Arabic"/>
          <w:rtl/>
        </w:rPr>
        <w:t xml:space="preserve">الحاشية ٦٤: إبراز الحكم (١/ ٦٠). ← قوبل ١ من النصوص المنقولة بلفظها على نص الصفحة المسترجعة من تراث (إبراز الحكم ١/ ٦٠ (معرّف الصفحة ٣٦، كتاب تراث رقم ٨٤٦٦))، ومنها: «احتجنا إلى تكلف الجواب»، فوافقت.</w:t>
      </w:r>
    </w:p>
    <w:p>
      <w:pPr>
        <w:pStyle w:val="BodyText1"/>
      </w:pPr>
      <w:r>
        <w:rPr>
          <w:rFonts w:ascii="Traditional Arabic" w:hAnsi="Traditional Arabic" w:cs="Traditional Arabic" w:eastAsia="Traditional Arabic"/>
          <w:rtl/>
        </w:rPr>
        <w:t xml:space="preserve">الحاشية ٦٥: فتاوى السبكي (١/ ٣٠). ← عزو توثيقي لا نقل بلفظه فيه؛ فتحت صفحته وقرأتها (فتاوى السبكي ١/ ٣٠ (معرّف الصفحة ٢٨، كتاب تراث رقم ١١٤٩٨))، وقابلت ما نسب فيه على المكتوب فوافق.</w:t>
      </w:r>
    </w:p>
    <w:p>
      <w:pPr>
        <w:pStyle w:val="BodyText1"/>
      </w:pPr>
      <w:r>
        <w:rPr>
          <w:rFonts w:ascii="Traditional Arabic" w:hAnsi="Traditional Arabic" w:cs="Traditional Arabic" w:eastAsia="Traditional Arabic"/>
          <w:rtl/>
        </w:rPr>
        <w:t xml:space="preserve">الحاشية ٦٦: تكملة المجموع للسبكي، قطعة جديدة (٣/ ٣٤٥). ← عزو توثيقي لا نقل بلفظه فيه؛ فتحت صفحته وقرأتها (تكملة المجموع ٣/ ٣٤٥ (معرّف الصفحة ١٥٥١، كتاب تراث رقم ٣٠٠٨٣))، وقابلت ما نسب فيه على المكتوب فوافق.</w:t>
      </w:r>
    </w:p>
    <w:p>
      <w:pPr>
        <w:pStyle w:val="BodyText1"/>
      </w:pPr>
      <w:r>
        <w:rPr>
          <w:rFonts w:ascii="Traditional Arabic" w:hAnsi="Traditional Arabic" w:cs="Traditional Arabic" w:eastAsia="Traditional Arabic"/>
          <w:rtl/>
        </w:rPr>
        <w:t xml:space="preserve">الحاشية ٦٧: تكملة المجموع للسبكي، قطعة جديدة (٣/ ٣٤٥). ← قوبل ١ من النصوص المنقولة بلفظها على نص الصفحة المسترجعة من تراث (تكملة المجموع ٣/ ٣٤٥ (معرّف الصفحة ١٥٥١، كتاب تراث رقم ٣٠٠٨٣))، ومنها: «فيبقى النظر»، فوافقت.</w:t>
      </w:r>
    </w:p>
    <w:p>
      <w:pPr>
        <w:pStyle w:val="BodyText1"/>
      </w:pPr>
      <w:r>
        <w:rPr>
          <w:rFonts w:ascii="Traditional Arabic" w:hAnsi="Traditional Arabic" w:cs="Traditional Arabic" w:eastAsia="Traditional Arabic"/>
          <w:rtl/>
        </w:rPr>
        <w:t xml:space="preserve">الحاشية ٦٨: المستصفى (ص: ٩٩). ← عزو توثيقي لا نقل بلفظه فيه؛ فتحت صفحته وقرأتها (المستصفى ١/ ٩٩ (معرّف الصفحة ٩٧، كتاب تراث رقم ٥٤٥٩))، وقابلت ما نسب فيه على المكتوب فوافق.</w:t>
      </w:r>
    </w:p>
    <w:p>
      <w:pPr>
        <w:pStyle w:val="BodyText1"/>
      </w:pPr>
      <w:r>
        <w:rPr>
          <w:rFonts w:ascii="Traditional Arabic" w:hAnsi="Traditional Arabic" w:cs="Traditional Arabic" w:eastAsia="Traditional Arabic"/>
          <w:rtl/>
        </w:rPr>
        <w:t xml:space="preserve">#٤ ثالثا: ما صحح وما أبدل وما اختلف فيه المصدر عن المكتوب</w:t>
      </w:r>
    </w:p>
    <w:p>
      <w:pPr>
        <w:pStyle w:val="BodyText1"/>
      </w:pPr>
      <w:r>
        <w:rPr>
          <w:rFonts w:ascii="Traditional Arabic" w:hAnsi="Traditional Arabic" w:cs="Traditional Arabic" w:eastAsia="Traditional Arabic"/>
          <w:rtl/>
        </w:rPr>
        <w:t xml:space="preserve">أولا: الإبهاج. فصلت بين كلام الأب وكلام الابن بالحد المنصوص في الكتاب نفسه (٢/ ٣٠١ - ٣٠٣). فما في (٢/ ٣٧٩ - ٣٨٠) من نص المنهاج وتعليق التاج على حكم الأشياء قبل الشرع بعد الحد، فهو للتاج، ولم أنسبه لأبيه، وقيدت ذلك في المتن. وقول التاج «وقد ذهب أهل السنة...» (٢/ ٣٨٠) أوردته دليلا للقول لا نسبة لأبيه.</w:t>
      </w:r>
    </w:p>
    <w:p>
      <w:pPr>
        <w:pStyle w:val="BodyText1"/>
      </w:pPr>
      <w:r>
        <w:rPr>
          <w:rFonts w:ascii="Traditional Arabic" w:hAnsi="Traditional Arabic" w:cs="Traditional Arabic" w:eastAsia="Traditional Arabic"/>
          <w:rtl/>
        </w:rPr>
        <w:t xml:space="preserve">ثانيا: الاقتباس بين صفحتين. صفحة تراث للإبهاج (٢/ ٣٧٩) تنتهي بحواشي المحقق قبل أن تبدأ (٢/ ٣٨٠)، فلا يستقيم نقل جملة تنتقل بينهما بين علامتي تنصيص؛ فقسمت قول المنهاج «لأن الحكم قديم عنده، ولا يتوقف تعلقه على البعثة؛ لتجويزه التكليف بالمحال» إلى قسمين: «لأن الحكم قديم عنده» (٢/ ٣٧٩)، و«لتجويزه التكليف بالمحال» (٢/ ٣٨٠).</w:t>
      </w:r>
    </w:p>
    <w:p>
      <w:pPr>
        <w:pStyle w:val="BodyText1"/>
      </w:pPr>
      <w:r>
        <w:rPr>
          <w:rFonts w:ascii="Traditional Arabic" w:hAnsi="Traditional Arabic" w:cs="Traditional Arabic" w:eastAsia="Traditional Arabic"/>
          <w:rtl/>
        </w:rPr>
        <w:t xml:space="preserve">ثالثا: تيسير التحرير (٢/ ١٣١ - ١٣٢). صفحة تراث تخلط متن ابن الهمام (بين القوسين) بشرح أمير باد شاه، فنسبت النقل إلى «تيسير التحرير» لا إلى أحدهما. ومنها قول «واعتراض المعتزلة على التعريف المذكور لمطلق الحكم بأن الخطاب قديم عندكم والحكم حادث» وهو من متن ابن الهمام الذي ينقله الشارح.</w:t>
      </w:r>
    </w:p>
    <w:p>
      <w:pPr>
        <w:pStyle w:val="BodyText1"/>
      </w:pPr>
      <w:r>
        <w:rPr>
          <w:rFonts w:ascii="Traditional Arabic" w:hAnsi="Traditional Arabic" w:cs="Traditional Arabic" w:eastAsia="Traditional Arabic"/>
          <w:rtl/>
        </w:rPr>
        <w:t xml:space="preserve">رابعا: المستصفى. نقلت من (ص: ٦٨) و(ص: ٩٩) حيث جاءت الصفحتان في تراث بترقيم المجلد الأول، وأثبت العزو بـ(ص:) كما في الدراسة السابقة؛ وقد ثبت عندي من بيانات الكتاب في الدراسة السابقة أنه مجلد واحد.</w:t>
      </w:r>
    </w:p>
    <w:p>
      <w:pPr>
        <w:pStyle w:val="BodyText1"/>
      </w:pPr>
      <w:r>
        <w:rPr>
          <w:rFonts w:ascii="Traditional Arabic" w:hAnsi="Traditional Arabic" w:cs="Traditional Arabic" w:eastAsia="Traditional Arabic"/>
          <w:rtl/>
        </w:rPr>
        <w:t xml:space="preserve">خامسا: ما صححته أثناء المقابلة قبل التسليم: حذفت من مسودتي قولي إن الأشاعرة متفقون على «أنه لا ثواب ولا عقاب قبل الشرع» لأن الصفحات التي أعزو إليها لا تنص على الثواب والعقاب بل على الحكم؛ وحذفت قولي إن تقي الدين جعل الصبي «عدم أثر الوجوب والتحريم» لأنه توقف في سبب الانتفاء بقوله «لم أر من تكلم في ذلك»؛ وحذفت قولي إنه «بنى» ما في الفتاوى (١/ ٣٠) على إبراز الحكم، وجعلته «يوافق»؛ وجعلت نقل الزركشي (١/ ٢٠٧) نصا للزركشي لا لابن القشيري وابن برهان، لأن صيغة «فقال» في الصفحة تحتمل أن القائل واحد منهما؛ وأعدت صياغة المنهاج: «الشيخ» في الصفحة غير مسمى فجعلته - فيما يظهر - الأشعري بالقياس على نسبة الرازي الوقف إليه (المحصول ١/ ١٥٩)، وصرحت بذلك.</w:t>
      </w:r>
    </w:p>
    <w:p>
      <w:pPr>
        <w:pStyle w:val="BodyText1"/>
      </w:pPr>
      <w:r>
        <w:rPr>
          <w:rFonts w:ascii="Traditional Arabic" w:hAnsi="Traditional Arabic" w:cs="Traditional Arabic" w:eastAsia="Traditional Arabic"/>
          <w:rtl/>
        </w:rPr>
        <w:t xml:space="preserve">سادسا: قول تقي الدين «وهو المختار» في إبراز الحكم (١/ ٦٠) بعد «عند من يقول بأن التعلق قديم»: الضمير فيه محتمل، وقدمت أنه يعود إلى القول بقدم التعلق وجعلته الأظهر، ونبهت على الاحتمال الآخر في المتن.</w:t>
      </w:r>
    </w:p>
    <w:p>
      <w:pPr>
        <w:pStyle w:val="BodyText1"/>
      </w:pPr>
      <w:r>
        <w:rPr>
          <w:rFonts w:ascii="Traditional Arabic" w:hAnsi="Traditional Arabic" w:cs="Traditional Arabic" w:eastAsia="Traditional Arabic"/>
          <w:rtl/>
        </w:rPr>
        <w:t xml:space="preserve">سابعا: الخمر قبل التحريم في تكملة المجموع (٣/ ٣٤٥): ذكر فيه تقي الدين «ما ادعاه الغزالي من أن السكر لم يزل محرما في كل ملة»، وفي حاشية المحقق إحالة إلى البحر المحيط للزركشي (٤/ ١٨٩). لم أفتح تلك الصفحة، فلا أستند إليها.</w:t>
      </w:r>
    </w:p>
    <w:p>
      <w:pPr>
        <w:pStyle w:val="BodyText1"/>
      </w:pPr>
      <w:r>
        <w:rPr>
          <w:rFonts w:ascii="Traditional Arabic" w:hAnsi="Traditional Arabic" w:cs="Traditional Arabic" w:eastAsia="Traditional Arabic"/>
          <w:rtl/>
        </w:rPr>
        <w:t xml:space="preserve">#٤ رابعا: مواضع تعرض على الدكتور</w:t>
      </w:r>
    </w:p>
    <w:p>
      <w:pPr>
        <w:pStyle w:val="BodyText1"/>
      </w:pPr>
      <w:r>
        <w:rPr>
          <w:rFonts w:ascii="Traditional Arabic" w:hAnsi="Traditional Arabic" w:cs="Traditional Arabic" w:eastAsia="Traditional Arabic"/>
          <w:rtl/>
        </w:rPr>
        <w:t xml:space="preserve">أولا: رقم المطلب في الفصل (أخذته من ترتيب الطلب).</w:t>
      </w:r>
    </w:p>
    <w:p>
      <w:pPr>
        <w:pStyle w:val="BodyText1"/>
      </w:pPr>
      <w:r>
        <w:rPr>
          <w:rFonts w:ascii="Traditional Arabic" w:hAnsi="Traditional Arabic" w:cs="Traditional Arabic" w:eastAsia="Traditional Arabic"/>
          <w:rtl/>
        </w:rPr>
        <w:t xml:space="preserve">ثانيا: غياب نص الدر النظيم في تراث.</w:t>
      </w:r>
    </w:p>
    <w:p>
      <w:pPr>
        <w:pStyle w:val="BodyText1"/>
      </w:pPr>
      <w:r>
        <w:rPr>
          <w:rFonts w:ascii="Traditional Arabic" w:hAnsi="Traditional Arabic" w:cs="Traditional Arabic" w:eastAsia="Traditional Arabic"/>
          <w:rtl/>
        </w:rPr>
        <w:t xml:space="preserve">ثالثا: صيغة القاعدة «الأحكام ثابتة قبل الشرع»؛ فهي ليست لفظ نص لتقي الدين، وقد حررتها على معنيين: القدم والأثر، ولعل الصيغة في الخطة تقصد معنى واحدا منهما.</w:t>
      </w:r>
    </w:p>
    <w:p>
      <w:pPr>
        <w:pStyle w:val="BodyText1"/>
      </w:pPr>
      <w:r>
        <w:rPr>
          <w:rFonts w:ascii="Traditional Arabic" w:hAnsi="Traditional Arabic" w:cs="Traditional Arabic" w:eastAsia="Traditional Arabic"/>
          <w:rtl/>
        </w:rPr>
        <w:t xml:space="preserve">رابعا: مرجع الضمير في «وهو المختار» (إبراز الحكم ١/ ٦٠).</w:t>
      </w:r>
    </w:p>
    <w:p>
      <w:pPr>
        <w:pStyle w:val="BodyText1"/>
      </w:pPr>
      <w:r>
        <w:rPr>
          <w:rFonts w:ascii="Traditional Arabic" w:hAnsi="Traditional Arabic" w:cs="Traditional Arabic" w:eastAsia="Traditional Arabic"/>
          <w:rtl/>
        </w:rPr>
        <w:t xml:space="preserve">خامسا: حمل «الشيخ» في المنهاج (الإبهاج ٢/ ٣٧٩) على الأشعري.</w:t>
      </w:r>
    </w:p>
    <w:p>
      <w:pPr>
        <w:pStyle w:val="BodyText1"/>
      </w:pPr>
      <w:r>
        <w:rPr>
          <w:rFonts w:ascii="Traditional Arabic" w:hAnsi="Traditional Arabic" w:cs="Traditional Arabic" w:eastAsia="Traditional Arabic"/>
          <w:rtl/>
        </w:rPr>
        <w:t xml:space="preserve">سادسا: أنني جعلت النزاع «لفظيا» على سبيل الظن، وبنيته على قول أمير باد شاه في خطاب المعدوم؛ ولم أجد من نص على ذلك في مسألة حكم ما قبل الشرع نفسها.</w:t>
      </w:r>
    </w:p>
    <w:p>
      <w:pPr>
        <w:pStyle w:val="BodyText1"/>
      </w:pPr>
      <w:r>
        <w:rPr>
          <w:rFonts w:ascii="Traditional Arabic" w:hAnsi="Traditional Arabic" w:cs="Traditional Arabic" w:eastAsia="Traditional Arabic"/>
          <w:rtl/>
        </w:rPr>
        <w:t xml:space="preserve">سابعا: ما لم أقف على من سبق تقي الدين إلى جمعه من القدم وانتفاء الأثر بهذه العبارة.</w:t>
      </w:r>
    </w:p>
    <w:p>
      <w:pPr>
        <w:pStyle w:val="BodyText1"/>
      </w:pPr>
      <w:r>
        <w:rPr>
          <w:rFonts w:ascii="Traditional Arabic" w:hAnsi="Traditional Arabic" w:cs="Traditional Arabic" w:eastAsia="Traditional Arabic"/>
          <w:rtl/>
        </w:rPr>
        <w:t xml:space="preserve">ثامنا: هل تذكر تراجم للغزالي والرازي والآمدي والجويني والزركشي وأمير باد شاه، وقد اقتصرت على السبكيين.</w:t>
      </w:r>
    </w:p>
    <w:p>
      <w:pPr>
        <w:pStyle w:val="BodyText1"/>
      </w:pPr>
      <w:r>
        <w:rPr>
          <w:rFonts w:ascii="Traditional Arabic" w:hAnsi="Traditional Arabic" w:cs="Traditional Arabic" w:eastAsia="Traditional Arabic"/>
          <w:rtl/>
        </w:rPr>
        <w:t xml:space="preserve">#٤ خامسا: ما بحثت عنه ولم أجده</w:t>
      </w:r>
    </w:p>
    <w:p>
      <w:pPr>
        <w:pStyle w:val="BodyText1"/>
      </w:pPr>
      <w:r>
        <w:rPr>
          <w:rFonts w:ascii="Traditional Arabic" w:hAnsi="Traditional Arabic" w:cs="Traditional Arabic" w:eastAsia="Traditional Arabic"/>
          <w:rtl/>
        </w:rPr>
        <w:t xml:space="preserve">لم أقف على نص الدر النظيم في تراث. ولم أقف على نص لتقي الدين بلفظ «الأحكام ثابتة قبل الشرع». وبحثت في مصنفاته المتاحة في تراث بعبارة «الحكم قديم وتعلقه حادث»، مقيدا بمؤلفه، فلم أجد غير إبراز الحكم (١/ ٦٠) والفتاوى (١/ ٣٠)، وما سواهما من الصفحات التي ظهرت في البحث فمن مسائل البيوع وغيرها لا صلة لها. وبحثت في البحر المحيط عن نقل منسوب باسمه بعبارة «قال الشيخ تقي الدين السبكي لا حكم قبل الشرع» فلم أقف على شيء.</w:t>
      </w:r>
    </w:p>
    <w:p>
      <w:pPr>
        <w:pStyle w:val="BodyText1"/>
      </w:pPr>
      <w:r>
        <w:rPr>
          <w:rFonts w:ascii="Traditional Arabic" w:hAnsi="Traditional Arabic" w:cs="Traditional Arabic" w:eastAsia="Traditional Arabic"/>
          <w:rtl/>
        </w:rPr>
        <w:t xml:space="preserve">ولم أقرأ نص الأشعري، ولا كتب المعتزلة الأصلية، ولا كتاب الإرشاد للجويني، ولا شرح المنهاج للأصفهاني، ولا شرح المحصول للقرافي، ولا نهاية السول للإسنوي. ولم أقرأ كلام ابن تيمية وابن القيم في قدم الحكم وتعلقه. ولم أقرأ رسالة الطوفي «درء القول القبيح بالتحسين والتقبيح» (كتاب تراث رقم ١٤٨٥٣١). ولم أقف على مادة «شرع» في مقاييس اللغة بالبحث، فاكتفيت بمادتي «ثبت» و«قدم»، ولم أعرف الشرع لغة؛ يعرض على الدكتور.</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2026-10-02T11:41:39Z</dcterms:created>
  <dcterms:modified xsi:type="dcterms:W3CDTF">2026-10-02T11:41:39Z</dcterms:modified>
</cp:coreProperties>
</file>