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BodyText1"/>
      </w:pPr>
      <w:r>
        <w:rPr>
          <w:rFonts w:ascii="Traditional Arabic" w:hAnsi="Traditional Arabic" w:cs="Traditional Arabic" w:eastAsia="Traditional Arabic"/>
          <w:rtl/>
        </w:rPr>
        <w:t xml:space="preserve">#٣ المطلب الأول: هل يجوز تعليل أفعال الله؟ الحكمة والباعث عند تقي الدين السبكي</w:t>
      </w:r>
    </w:p>
    <w:p>
      <w:pPr>
        <w:pStyle w:val="BodyText1"/>
      </w:pPr>
      <w:r>
        <w:rPr>
          <w:rFonts w:ascii="Traditional Arabic" w:hAnsi="Traditional Arabic" w:cs="Traditional Arabic" w:eastAsia="Traditional Arabic"/>
          <w:rtl/>
        </w:rPr>
        <w:t xml:space="preserve">هذه المسألة من المسائل التي يظهر فيها التقاء الكلام بالأصول؛ إذ المتكلمون يشتهر عنهم أن أفعال الله وأحكامه لا تعلل، والفقهاء يعللون الأحكام ويقيسون عليها. وقد وقفت لتقي الدين السبكي&lt;هو علي بن عبد الكافي بن علي بن تمام السبكي، توفي ليلة الاثنين المسفرة عن ثالث جمادى الآخرة سنة ست وخمسين وسبعمائة. انظر: طبقات الشافعية الكبرى للسبكي (١٠/ ١٣٩، ٣١٦).&gt; فيها على نصين: أحدهما في فتاويه، والآخر في رسالة له سماها «ورد العلل في فهم العلل» لم أقف على أصلها، وإنما وقفت على نصها منقولا في الإبهاج لولده التاج. وقصدت في هذا المطلب إلى استخراج ما صرح به، ثم بناء القاعدة عليه، ثم عرضها على أقوال الأصوليين والمتكلمين، مع تحرير محل النزاع قبل الخوض في الأقوال.&lt;الدر النظيم في تفسير القرآن العظيم لتقي الدين السبكي مذكور في ثبت مصنفاته وفيه أنه لم يكمل، وفي كشف الظنون أنه لم يكمله. انظر: طبقات الشافعية الكبرى (١٠/ ٣٠٧)، وكشف الظنون (١/ ٧٣٦). ولم أقف على نص الدر النظيم في مكتبة «تراث» التي كان البحث فيها، فاستعيض بنصوصه الأخرى. وأما رقم هذا المطلب فهو على ترتيب الطلب، ولم أرجع فيه إلى ملف الخطة؛ يعرض على الدكتور. ولم أترجم في هذا المطلب إلا للسبكيين، واكتفيت في غيرهم بتوثيق نصوصهم.&gt;</w:t>
      </w:r>
    </w:p>
    <w:p>
      <w:pPr>
        <w:pStyle w:val="BodyText1"/>
      </w:pPr>
      <w:r>
        <w:rPr>
          <w:rFonts w:ascii="Traditional Arabic" w:hAnsi="Traditional Arabic" w:cs="Traditional Arabic" w:eastAsia="Traditional Arabic"/>
          <w:rtl/>
        </w:rPr>
        <w:t xml:space="preserve">#٤ تمهيد</w:t>
      </w:r>
    </w:p>
    <w:p>
      <w:pPr>
        <w:pStyle w:val="BodyText1"/>
      </w:pPr>
      <w:r>
        <w:rPr>
          <w:rFonts w:ascii="Traditional Arabic" w:hAnsi="Traditional Arabic" w:cs="Traditional Arabic" w:eastAsia="Traditional Arabic"/>
          <w:rtl/>
        </w:rPr>
        <w:t xml:space="preserve">#٥ اللغة</w:t>
      </w:r>
    </w:p>
    <w:p>
      <w:pPr>
        <w:pStyle w:val="BodyText1"/>
      </w:pPr>
      <w:r>
        <w:rPr>
          <w:rFonts w:ascii="Traditional Arabic" w:hAnsi="Traditional Arabic" w:cs="Traditional Arabic" w:eastAsia="Traditional Arabic"/>
          <w:rtl/>
        </w:rPr>
        <w:t xml:space="preserve">أبدأ بالمفردات الثلاث التي تدور عليها المسألة، وهي العلة والحكمة والغرض. أما العلة فقد قال ابن فارس: "العين واللام أصول ثلاثة صحيحة: أحدها تكرر أو تكرير، والآخر عائق يعوق، والثالث ضعف في الشئ".&lt;مقاييس اللغة لابن فارس (٤/ ١٢).&gt; ثم ذكر في الأصل الثاني قول الخليل: "العلة حدث يشغل صاحبه عن وجهه".&lt;مقاييس اللغة (٤/ ١٣).&gt; ولم أقف على من ربط الاصطلاح الأصولي في العلة بأحد هذه الأصول، فأكتفي بإثباتها.</w:t>
      </w:r>
    </w:p>
    <w:p>
      <w:pPr>
        <w:pStyle w:val="BodyText1"/>
      </w:pPr>
      <w:r>
        <w:rPr>
          <w:rFonts w:ascii="Traditional Arabic" w:hAnsi="Traditional Arabic" w:cs="Traditional Arabic" w:eastAsia="Traditional Arabic"/>
          <w:rtl/>
        </w:rPr>
        <w:t xml:space="preserve">وأما الحكمة فقال ابن فارس: "الحاء والكاف والميم أصل واحد، وهو المنع"، ثم قال: "والحكمة هذا قياسها، لأنها تمنع من الجهل".&lt;مقاييس اللغة (٢/ ٩١).&gt; وأما الغرض فقال ابن منظور: "والغرض هو الهدف الذي ينصب فيرمى فيه"، ثم قال: "وغرضه كذا أي حاجته وبغيته. وفهمت غرضك أي قصدك".&lt;لسان العرب لابن منظور (٧/ ١٩٦).&gt; ويظهر لي - والله أعلم - أن هذا الفرق اللغوي يضيء موضع النزاع؛ فإن الغرض في أصل اللغة ما يقصده الفاعل وهو محتاج إليه، ولهذا بنى المانعون حجتهم على أن الفاعل لغرض يكون ناقصا مستكملا بغيره، كما سيأتي. وأما الحكمة فمدارها على المنع من الجهل، لا على حاجة الفاعل.</w:t>
      </w:r>
    </w:p>
    <w:p>
      <w:pPr>
        <w:pStyle w:val="BodyText1"/>
      </w:pPr>
      <w:r>
        <w:rPr>
          <w:rFonts w:ascii="Traditional Arabic" w:hAnsi="Traditional Arabic" w:cs="Traditional Arabic" w:eastAsia="Traditional Arabic"/>
          <w:rtl/>
        </w:rPr>
        <w:t xml:space="preserve">#٥ الاصطلاح</w:t>
      </w:r>
    </w:p>
    <w:p>
      <w:pPr>
        <w:pStyle w:val="BodyText1"/>
      </w:pPr>
      <w:r>
        <w:rPr>
          <w:rFonts w:ascii="Traditional Arabic" w:hAnsi="Traditional Arabic" w:cs="Traditional Arabic" w:eastAsia="Traditional Arabic"/>
          <w:rtl/>
        </w:rPr>
        <w:t xml:space="preserve">أما في الاصطلاح فقد ذكر الزركشي للعلة خمسة تفسيرات، آخرها: "الباعث على التشريع بمعنى أنه لا بد أن يكون الوصف مشتملا على مصلحة صالحة أن تكون مقصودة للشارع من شرع الحكم". ثم قال: "وهو اختيار الآمدي وابن الحاجب وهو نزعة القائلين بأن الرب تعالى يعلل أفعاله بالأغراض. والصحيح عند الأشعرية خلافه".&lt;البحر المحيط في أصول الفقه للزركشي (٧/ ١٤٤).&gt; وقبله ذكر ما يقابله: أنها المعرف للحكم، وأنها الموجب له بجعل الشارع، وأنها الموجب بذاتها وهو "قول المعتزلة بناء على قاعدتهم في التحسين والتقبيح العقلي"، وأنها الموجبة بالعادة.&lt;البحر المحيط (٧/ ١٤٤).&gt; فالعلة بمعنى الباعث هي التي تتعلق بها المسألة، وما عداها لا يلزم منه تعليل أفعال الله.</w:t>
      </w:r>
    </w:p>
    <w:p>
      <w:pPr>
        <w:pStyle w:val="BodyText1"/>
      </w:pPr>
      <w:r>
        <w:rPr>
          <w:rFonts w:ascii="Traditional Arabic" w:hAnsi="Traditional Arabic" w:cs="Traditional Arabic" w:eastAsia="Traditional Arabic"/>
          <w:rtl/>
        </w:rPr>
        <w:t xml:space="preserve">ومما يتصل بالاصطلاح أن الجويني حمل معنى «الحكيم» على غير ما يتبادر. فقد نقل عنه ابن تيمية قوله: "معنى قولنا إنه حكيم في أفعاله أنه مصيب في ذلك ومحكم لها لأنه مالك الأعيان فيتصرف تصرف مالك الأعيان في ملكه من غير اعتراض"،&lt;بيان تلبيس الجهمية لابن تيمية (٢/ ٥٢). وسماه فيه «أبو المعالي»، ويظهر أنه الجويني، ولم أقف على النص في كتب الجويني التي بحثت فيها، فالنقل عن ابن تيمية؛ يعرض على الدكتور.&gt; ثم عقب عليه بأن هذا "خلاف ما عليه الناس في معنى الحكمة والحكيم".&lt;بيان تلبيس الجهمية (٢/ ٥٢).&gt;</w:t>
      </w:r>
    </w:p>
    <w:p>
      <w:pPr>
        <w:pStyle w:val="BodyText1"/>
      </w:pPr>
      <w:r>
        <w:rPr>
          <w:rFonts w:ascii="Traditional Arabic" w:hAnsi="Traditional Arabic" w:cs="Traditional Arabic" w:eastAsia="Traditional Arabic"/>
          <w:rtl/>
        </w:rPr>
        <w:t xml:space="preserve">#٥ الفروق التي يقع فيها الخلط</w:t>
      </w:r>
    </w:p>
    <w:p>
      <w:pPr>
        <w:pStyle w:val="BodyText1"/>
      </w:pPr>
      <w:r>
        <w:rPr>
          <w:rFonts w:ascii="Traditional Arabic" w:hAnsi="Traditional Arabic" w:cs="Traditional Arabic" w:eastAsia="Traditional Arabic"/>
          <w:rtl/>
        </w:rPr>
        <w:t xml:space="preserve">وقد وقع الخلط في هذه المسألة في خمسة مواضع، أحتاج إلى تحريرها قبل الدخول في الأقوال.</w:t>
      </w:r>
    </w:p>
    <w:p>
      <w:pPr>
        <w:pStyle w:val="BodyText1"/>
      </w:pPr>
      <w:r>
        <w:rPr>
          <w:rFonts w:ascii="Traditional Arabic" w:hAnsi="Traditional Arabic" w:cs="Traditional Arabic" w:eastAsia="Traditional Arabic"/>
          <w:rtl/>
        </w:rPr>
        <w:t xml:space="preserve">الأول: الفرق بين الحكمة والغرض. وفي البحر المحيط تنبيه عليه، وفيه: "وإنما أنكرت الأشعرية العلة والغرض والتحسين العقلي ورعاية الأصلح، والفرق بين هذه ورعاية الحكمة واضح، ولخفاء الغرض وقع الخبط".&lt;البحر المحيط (٧/ ١٥٨).&gt; فالمنفي عند الأشعرية هو الغرض الباعث، لا وجود الحكمة.</w:t>
      </w:r>
    </w:p>
    <w:p>
      <w:pPr>
        <w:pStyle w:val="BodyText1"/>
      </w:pPr>
      <w:r>
        <w:rPr>
          <w:rFonts w:ascii="Traditional Arabic" w:hAnsi="Traditional Arabic" w:cs="Traditional Arabic" w:eastAsia="Traditional Arabic"/>
          <w:rtl/>
        </w:rPr>
        <w:t xml:space="preserve">الثاني: الفرق بين تعليل الأفعال وتعليل الأحكام. فقد نقل الزركشي عن ابن الحاجب إجماع الفقهاء على أنه لا بد للحكم من علة، وأن هذا استشكل "بالأصل المشهور أن أفعال الله لا تعلل بالغرض"، ثم أجاب بقوله: "ولا منافاة بينهما لأن الأحكام غير الأفعال".&lt;البحر المحيط (٧/ ١٥٦).&gt; وهذا الفرق وحده لا يكفي عند من يجعل الحكم كلام الله القديم، كما سيأتي في تعقب الجواب.</w:t>
      </w:r>
    </w:p>
    <w:p>
      <w:pPr>
        <w:pStyle w:val="BodyText1"/>
      </w:pPr>
      <w:r>
        <w:rPr>
          <w:rFonts w:ascii="Traditional Arabic" w:hAnsi="Traditional Arabic" w:cs="Traditional Arabic" w:eastAsia="Traditional Arabic"/>
          <w:rtl/>
        </w:rPr>
        <w:t xml:space="preserve">الثالث: الفرق بين نفي الوجوب ونفي الجواز. وقد قال ابن القيم في رده على دليل المانعين: "فإنما يدل على أن أفعاله تعالى لا يجب تعليلها ولا يلزم من ذلك أن لا يجوز تعليلها فنفي الوجوب شيء ونفي الجواز شيء".&lt;شفاء العليل لابن القيم (١/ ٢١٦).&gt;</w:t>
      </w:r>
    </w:p>
    <w:p>
      <w:pPr>
        <w:pStyle w:val="BodyText1"/>
      </w:pPr>
      <w:r>
        <w:rPr>
          <w:rFonts w:ascii="Traditional Arabic" w:hAnsi="Traditional Arabic" w:cs="Traditional Arabic" w:eastAsia="Traditional Arabic"/>
          <w:rtl/>
        </w:rPr>
        <w:t xml:space="preserve">الرابع: الفرق بين العلة بمعنى الأمارة والعلة بمعنى الباعث. فقد قال الآمدي في الجواب عن حجة من منع التعليل: "إما بمعنى الأمارة والعلامة عند من يقول بذلك، والحادث لا يمتنع أن يكون أمارة على القديم، وإما بمعنى الباعث فلا يمتنع أيضا أن يكون متأخرا".&lt;الإحكام للآمدي (٣/ ٢٩٢).&gt;</w:t>
      </w:r>
    </w:p>
    <w:p>
      <w:pPr>
        <w:pStyle w:val="BodyText1"/>
      </w:pPr>
      <w:r>
        <w:rPr>
          <w:rFonts w:ascii="Traditional Arabic" w:hAnsi="Traditional Arabic" w:cs="Traditional Arabic" w:eastAsia="Traditional Arabic"/>
          <w:rtl/>
        </w:rPr>
        <w:t xml:space="preserve">الخامس: الفرق بين الباعث على الحكم والباعث على فعل المكلف. وهو موضع الدقة في كلام تقي الدين، وسيأتي بيانه في (أولا) و(رابعا).</w:t>
      </w:r>
    </w:p>
    <w:p>
      <w:pPr>
        <w:pStyle w:val="BodyText1"/>
      </w:pPr>
      <w:r>
        <w:rPr>
          <w:rFonts w:ascii="Traditional Arabic" w:hAnsi="Traditional Arabic" w:cs="Traditional Arabic" w:eastAsia="Traditional Arabic"/>
          <w:rtl/>
        </w:rPr>
        <w:t xml:space="preserve">#٤ أولا: النص محل الاستنباط</w:t>
      </w:r>
    </w:p>
    <w:p>
      <w:pPr>
        <w:pStyle w:val="BodyText1"/>
      </w:pPr>
      <w:r>
        <w:rPr>
          <w:rFonts w:ascii="Traditional Arabic" w:hAnsi="Traditional Arabic" w:cs="Traditional Arabic" w:eastAsia="Traditional Arabic"/>
          <w:rtl/>
        </w:rPr>
        <w:t xml:space="preserve">#٥ نصوص تقي الدين السبكي في المسألة</w:t>
      </w:r>
    </w:p>
    <w:p>
      <w:pPr>
        <w:pStyle w:val="BodyText1"/>
      </w:pPr>
      <w:r>
        <w:rPr>
          <w:rFonts w:ascii="Traditional Arabic" w:hAnsi="Traditional Arabic" w:cs="Traditional Arabic" w:eastAsia="Traditional Arabic"/>
          <w:rtl/>
        </w:rPr>
        <w:t xml:space="preserve">تقدم أن الإبهاج ليس كله لتقي الدين؛ فقد قال التاج: "وقد وصل والدي الشيخ الإمام جزاه الله الخير إلى مسألة مقدمة الواجب، ونحن نتلوه"،&lt;الإبهاج (٢/ ٣٠١).&gt; ثم قال: "قلت: هذا ما وقف عنده والدي أطال الله عمره، ومن هنا أبتدئ".&lt;الإبهاج (٢/ ٣٠٣).&gt; فما بعد هذا الحد من إنشاء التاج، ولا ينسب لأبيه فيه إلا ما حكاه عنه صراحة. والنص الذي أنقله من الإبهاج في (ورد العلل) هو من هذا الضرب؛ فهو نص لتقي الدين حكاه ولده بلفظه، لا كلام للولد في ذاته.</w:t>
      </w:r>
    </w:p>
    <w:p>
      <w:pPr>
        <w:pStyle w:val="BodyText1"/>
      </w:pPr>
      <w:r>
        <w:rPr>
          <w:rFonts w:ascii="Traditional Arabic" w:hAnsi="Traditional Arabic" w:cs="Traditional Arabic" w:eastAsia="Traditional Arabic"/>
          <w:rtl/>
        </w:rPr>
        <w:t xml:space="preserve">فالنص الأول في الفتاوى، في فصل عقده على قوله صلى الله عليه وسلم: "لو لم تذنبوا لذهب الله بكم ولجاء بقوم يذنبون فيستغفرون الله فيغفر لهم".&lt;صحيح مسلم (٤/ ٢١٠٦) رقم (٢٧٤٩)، من حديث أبي هريرة رضي الله عنه. ولفظ الفتاوى فيه: «لجاء الله بقوم»، انظر: فتاوى السبكي (٢/ ٤٨٢).&gt; قال: إنه "لا يدل على أن شيئا من الذنوب مطلوب ولا محبوب ولا مرغوب فيه ولا يتقرب به إلى الله تعالى"، ثم قال: "فإن قلنا: إن أفعال الله سبحانه وتعالى لا تعلل كما هو مذهب كثير من المتكلمين فذاك، وإن قلنا: تعلل فإنما يلزم عليه أن يكون المجيء بقوم موصوفين بتلك الصفة مرادا ولا يلزم من ذلك إرادة الصفة فالإرادة غير الرضا والمحبة".&lt;فتاوى السبكي (٢/ ٤٨٢).&gt; ثم قال: "ولو سلم أن الرضا والمحبة من الإرادة فثلاثتها غير الطلب والتقرب إنما يكون بالمطلوب وليس كل مراد ومحبوب ومرضي به مطلوبا".&lt;فتاوى السبكي (٢/ ٤٨٢).&gt; ثم بين أنه "إذا منعنا التعليل فظاهر"، وأنه "إذا عللنا فإنا نعلل الإرادة والمحبة والرضا في غير المطلوب بما يترتب عليها من الخير"،&lt;فتاوى السبكي (٢/ ٤٨٢).&gt; ومثل له بأن الذنب "قد يترتب على الذنب الصغير والكبير لفاعله انكسار وصلاح قلب لم يكن يحصل بدونه"، وبأن غير فاعله قد يعتبر به كما حصل لنا من قصص الأمم المتقدمة. ثم ختم بقوله: "والتقرب إنما هو بالمطلوب، وليس شيء من المعاصي مطلوبا كبر أو صغر".&lt;فتاوى السبكي (٢/ ٤٨٢).&gt;</w:t>
      </w:r>
    </w:p>
    <w:p>
      <w:pPr>
        <w:pStyle w:val="BodyText1"/>
      </w:pPr>
      <w:r>
        <w:rPr>
          <w:rFonts w:ascii="Traditional Arabic" w:hAnsi="Traditional Arabic" w:cs="Traditional Arabic" w:eastAsia="Traditional Arabic"/>
          <w:rtl/>
        </w:rPr>
        <w:t xml:space="preserve">وقد أورد في هذا الموضع أثر «كنت كنزا لا أعرف فأحببت أن أعرف» بلفظ «فقد ورد»؛ ولم أقف على تخريجه، ولا أبني عليه شيئا في هذا المطلب. يعرض على الدكتور.</w:t>
      </w:r>
    </w:p>
    <w:p>
      <w:pPr>
        <w:pStyle w:val="BodyText1"/>
      </w:pPr>
      <w:r>
        <w:rPr>
          <w:rFonts w:ascii="Traditional Arabic" w:hAnsi="Traditional Arabic" w:cs="Traditional Arabic" w:eastAsia="Traditional Arabic"/>
          <w:rtl/>
        </w:rPr>
        <w:t xml:space="preserve">والنص الثاني في رسالته «ورد العلل في فهم العلل». وقد ثبت له هذا المصنف من وجوه: فقد عده التاج في ثبت مصنفات أبيه،&lt;طبقات الشافعية الكبرى (١٠/ ٣١٢).&gt; وذكره حاجي خليفة له،&lt;كشف الظنون لحاجي خليفة (٢/ ٢٠٠٥).&gt; وذكره الصفدي فيما عده من مصنفاته التي قال فيها: "وكتبتها بخطي وقرأتها عليه".&lt;أعيان العصر وأعوان النصر للصفدي (٣/ ٤٣٠). ولم أقف في النسخة التي بين يدي على مطلع الترجمة، وإنما عرفت أن المراد تقي الدين من اتفاق ما في القائمة مع ثبت الطبقات (١٠/ ٣١٢)، ففي الموضعين «الرفدة في معنى وحده» و«الإغريض في الحقيقة والمجاز والكناية والتعريض»؛ يعرض على الدكتور.&gt;</w:t>
      </w:r>
    </w:p>
    <w:p>
      <w:pPr>
        <w:pStyle w:val="BodyText1"/>
      </w:pPr>
      <w:r>
        <w:rPr>
          <w:rFonts w:ascii="Traditional Arabic" w:hAnsi="Traditional Arabic" w:cs="Traditional Arabic" w:eastAsia="Traditional Arabic"/>
          <w:rtl/>
        </w:rPr>
        <w:t xml:space="preserve">وسبب تأليفه ما حكاه التاج، قال: "وبقي سؤال يورده الشيوخ، وهو أن المشتهر عن المتكلمين أن أحكام الله تعالى لا تعلل، واشتهر عن الفقهاء التعليل، وأن العلة بمعنى الباعث، وتوهم كثير منهم منها أنها باعثة للشارع على الحكم كما هو مذهب قد بينا بطلانه، فيتناقض كلام الفقهاء وكلام المتكلمين".&lt;الإبهاج (٦/ ٢٢٨٧).&gt; ثم قال: "وما زال الشيخ الإمام الوالد والدي أطال الله عمره يستشكل الجمع بين كلاميهما إلى أن جاء ببديع من القول فقال في مختصر لطيف كتبه على هذا السؤال وسماه ورد العلل في فهم العلل: ولا تناقض بين الكلامين؛ لأن المراد أن العلة باعثة على فعل المكلف".&lt;الإبهاج (٦/ ٢٢٨٧).&gt;</w:t>
      </w:r>
    </w:p>
    <w:p>
      <w:pPr>
        <w:pStyle w:val="BodyText1"/>
      </w:pPr>
      <w:r>
        <w:rPr>
          <w:rFonts w:ascii="Traditional Arabic" w:hAnsi="Traditional Arabic" w:cs="Traditional Arabic" w:eastAsia="Traditional Arabic"/>
          <w:rtl/>
        </w:rPr>
        <w:t xml:space="preserve">ثم نقل نصه، وفيه: "مثاله: حفظ النفوس فإنه علة باعثة على القصاص الذي هو فعل المكلف المحكوم به من جهة الشرع فحكم الشرع لا علة له ولا باعث عليه؛ لأنه قادر أن يحفظ النفوس بدون ذلك، وإنما تعلق أمره بحفظ النفوس".&lt;الإبهاج (٦/ ٢٢٨٧).&gt; ثم قال في المقصدين: "وبالقصاص لكونه وسيلة إليه فكلا المقصد والوسيلة مقصود للشرع".&lt;الإبهاج (٦/ ٢٢٨٨).&gt; ثم قال: "ومن هنا يتبين أن كل حكم معقول المعنى فللشارع فيه مقصودان: أحدهما: ذلك المعنى، والثاني: الفعل الذي هو طريق إليه، وأمر المكلف أن يفعل ذلك الفعل قاصدا به ذلك المعنى، فالمعنى باعث له لا للشارع".&lt;الإبهاج (٦/ ٢٢٨٨).&gt; ثم رتب على ذلك أن "الحكم المعقول المعنى أكثر أجرا من الحكم التعبدي"، واستدرك بأن "التعبدي فيه معنى آخر، وهو أن النفس لاحظ لها فيه"، وأن "العلة القاصرة سواء كانت منصوصة أم مستنبطة فيها فائدة"، وأن فائدتها أن يقصد المكلف الفعل لأجلها فيزداد أجره.&lt;الإبهاج (٦/ ٢٢٨٨ - ٢٢٨٩).&gt; وختم بقوله: "وميز بين المراتب الثلاث، وهي حكم الله بالقصاص، ونفس القصاص، وحفظ النفوس وهو باعث على الثاني لا على الأول، وكذا حفظ المال بالقطع في السرقة وحفظ العقل باجتناب المسكر".&lt;الإبهاج (٦/ ٢٢٨٩).&gt;</w:t>
      </w:r>
    </w:p>
    <w:p>
      <w:pPr>
        <w:pStyle w:val="BodyText1"/>
      </w:pPr>
      <w:r>
        <w:rPr>
          <w:rFonts w:ascii="Traditional Arabic" w:hAnsi="Traditional Arabic" w:cs="Traditional Arabic" w:eastAsia="Traditional Arabic"/>
          <w:rtl/>
        </w:rPr>
        <w:t xml:space="preserve">وقد أحال التاج على هذا النص في موضع آخر من الإبهاج، فقال في فوائد العلة القاصرة: "ومنها: ما نبه عليه والدي أيده الله تعالى من أن المكلف يقصد الفعل لأجلها فيزداد أجره كما قررناه في الكلام على العلة".&lt;الإبهاج (٦/ ٢٥٤٤).&gt; ونقله الزركشي في البحر المحيط بنحو لفظه ولم يسم قائله، فقال: "وقال بعض المتأخرين: اشتهر عند المتكلمين أن أحكام الله تعالى لا تعلل، واشتهر عند الفقهاء التعليل وأن العلة بمعنى الباعث، ويتوهم كثير من الناس أنها الباعث للشرع فيتناقض كلام الفقهاء وكلام المتكلمين، وليس كذلك ولا تناقض بل المراد أن العلة باعثة على فعل المكلف".&lt;البحر المحيط (٧/ ١٥٨).&gt; وفي نقل الزركشي زيادة لم أجدها في نص الإبهاج، وهي قوله: "ومن هنا تعرف أن الظاهرية فاتهم نصف التفقه ونصف الأجر".&lt;البحر المحيط (٧/ ١٥٩).&gt; ولم أقف على مصدر هذه الزيادة؛ فلا أنسبها لتقي الدين إلا بتحفظ. يعرض على الدكتور.</w:t>
      </w:r>
    </w:p>
    <w:p>
      <w:pPr>
        <w:pStyle w:val="BodyText1"/>
      </w:pPr>
      <w:r>
        <w:rPr>
          <w:rFonts w:ascii="Traditional Arabic" w:hAnsi="Traditional Arabic" w:cs="Traditional Arabic" w:eastAsia="Traditional Arabic"/>
          <w:rtl/>
        </w:rPr>
        <w:t xml:space="preserve">وأما قول التاج في الإبهاج (٢/ ٣٧٨): "وهذا جواب صحيح ماش على اللائق بأصول المتكلمين فإنهم لا يجوزون تعليل أفعال الله تعالى وهو الحق" فهو من كلام التاج لا من كلام أبيه؛ لوقوعه بعد الحد الفاصل المتقدم، فلا أنسبه لتقي الدين.&lt;الإبهاج (٢/ ٣٧٨).&gt;</w:t>
      </w:r>
    </w:p>
    <w:p>
      <w:pPr>
        <w:pStyle w:val="BodyText1"/>
      </w:pPr>
      <w:r>
        <w:rPr>
          <w:rFonts w:ascii="Traditional Arabic" w:hAnsi="Traditional Arabic" w:cs="Traditional Arabic" w:eastAsia="Traditional Arabic"/>
          <w:rtl/>
        </w:rPr>
        <w:t xml:space="preserve">#٥ تفكيك النص إلى عناصره</w:t>
      </w:r>
    </w:p>
    <w:p>
      <w:pPr>
        <w:pStyle w:val="BodyText1"/>
      </w:pPr>
      <w:r>
        <w:rPr>
          <w:rFonts w:ascii="Traditional Arabic" w:hAnsi="Traditional Arabic" w:cs="Traditional Arabic" w:eastAsia="Traditional Arabic"/>
          <w:rtl/>
        </w:rPr>
        <w:t xml:space="preserve">يتحصل من النصين عشرة عناصر. (أ) أن المسألة في الفتاوى مبنية على تقدير شرطي: فإن قلنا لا تعلل فذاك، وإن قلنا تعلل فلا يلزم المحذور. (ب) أن الإرادة غير الرضا والمحبة، وهذه الثلاثة غير الطلب. (ج) أن التقرب إنما يكون بالمطلوب، فلا يتقرب بمعصية وإن كانت مرادة. (د) أن التعليل - على القول به - يكون بما يترتب على الشيء من خير لفاعله أو لغيره. (هـ) أن العلة باعثة على فعل المكلف لا على حكم الشارع. (و) أن حكم الشرع لا علة له ولا باعث عليه، وأن دليل ذلك قدرة الله على تحصيل المقصود بدون الوسيلة. (ز) أن للشارع في الحكم المعقول المعنى مقصودين: المعنى والفعل الذي هو طريق إليه. (ح) أن المعنى باعث للمكلف لا للشارع. (ط) أن المعقول المعنى أكثر أجرا من التعبدي، وأن في التعبدي معنى آخر. (ي) أن في كل مسألة ثلاث مراتب: حكم الله، والفعل، والمصلحة.</w:t>
      </w:r>
    </w:p>
    <w:p>
      <w:pPr>
        <w:pStyle w:val="BodyText1"/>
      </w:pPr>
      <w:r>
        <w:rPr>
          <w:rFonts w:ascii="Traditional Arabic" w:hAnsi="Traditional Arabic" w:cs="Traditional Arabic" w:eastAsia="Traditional Arabic"/>
          <w:rtl/>
        </w:rPr>
        <w:t xml:space="preserve">#٤ ثانيا: صياغة القاعدة ومعناها</w:t>
      </w:r>
    </w:p>
    <w:p>
      <w:pPr>
        <w:pStyle w:val="BodyText1"/>
      </w:pPr>
      <w:r>
        <w:rPr>
          <w:rFonts w:ascii="Traditional Arabic" w:hAnsi="Traditional Arabic" w:cs="Traditional Arabic" w:eastAsia="Traditional Arabic"/>
          <w:rtl/>
        </w:rPr>
        <w:t xml:space="preserve">والقاعدة التي أصوغها من هذين النصين هي: (حكم الشارع لا علة له ولا باعث عليه، وإنما العلة باعثة على فعل المكلف).</w:t>
      </w:r>
    </w:p>
    <w:p>
      <w:pPr>
        <w:pStyle w:val="BodyText1"/>
      </w:pPr>
      <w:r>
        <w:rPr>
          <w:rFonts w:ascii="Traditional Arabic" w:hAnsi="Traditional Arabic" w:cs="Traditional Arabic" w:eastAsia="Traditional Arabic"/>
          <w:rtl/>
        </w:rPr>
        <w:t xml:space="preserve">ومعناها أن النزاع بين المتكلمين والفقهاء ليس على شيء واحد؛ فالمتكلمون ينفون أن يكون لله غرض يبعثه على الحكم، والفقهاء يثبتون أن للحكم معنى مقصودا، فإذا نسبت العلة إلى المكلف لا إلى الشارع ارتفع التعارض. وهذا لا يعني أن الحكم خال عن المقصود، فقد صرح تقي الدين بأن حفظ النفوس مقصود في نفسه وأن القصاص مقصود لكونه وسيلة إليه.&lt;الإبهاج (٦/ ٢٢٨٧ - ٢٢٨٨).&gt; وإنما المنفي أن يكون ذلك المقصود باعثا لله تعالى على الحكم.</w:t>
      </w:r>
    </w:p>
    <w:p>
      <w:pPr>
        <w:pStyle w:val="BodyText1"/>
      </w:pPr>
      <w:r>
        <w:rPr>
          <w:rFonts w:ascii="Traditional Arabic" w:hAnsi="Traditional Arabic" w:cs="Traditional Arabic" w:eastAsia="Traditional Arabic"/>
          <w:rtl/>
        </w:rPr>
        <w:t xml:space="preserve">#٥ القواعد الأخص المتفرعة عن القاعدة</w:t>
      </w:r>
    </w:p>
    <w:p>
      <w:pPr>
        <w:pStyle w:val="BodyText1"/>
      </w:pPr>
      <w:r>
        <w:rPr>
          <w:rFonts w:ascii="Traditional Arabic" w:hAnsi="Traditional Arabic" w:cs="Traditional Arabic" w:eastAsia="Traditional Arabic"/>
          <w:rtl/>
        </w:rPr>
        <w:t xml:space="preserve">وتتفرع عنها قواعد أخص نص عليها في النصين. الأولى: (الإرادة غير الرضا والمحبة، وهذه غير الطلب، والتقرب إنما يكون بالمطلوب).&lt;فتاوى السبكي (٢/ ٤٨٢).&gt; والثانية: (في كل مسألة ثلاث مراتب: حكم الله، ونفس الفعل، والمصلحة، والمصلحة باعث على الثاني لا على الأول).&lt;الإبهاج (٦/ ٢٢٨٩).&gt; والثالثة: (المعقول المعنى أكثر أجرا من التعبدي).&lt;الإبهاج (٦/ ٢٢٨٨).&gt; والرابعة: (العلة القاصرة فيها فائدة، وهي قصد المكلف فعله لأجلها).&lt;الإبهاج (٦/ ٢٢٨٨ - ٢٢٨٩).&gt;</w:t>
      </w:r>
    </w:p>
    <w:p>
      <w:pPr>
        <w:pStyle w:val="BodyText1"/>
      </w:pPr>
      <w:r>
        <w:rPr>
          <w:rFonts w:ascii="Traditional Arabic" w:hAnsi="Traditional Arabic" w:cs="Traditional Arabic" w:eastAsia="Traditional Arabic"/>
          <w:rtl/>
        </w:rPr>
        <w:t xml:space="preserve">#٤ ثالثا: تحرير محل النزاع والأقوال</w:t>
      </w:r>
    </w:p>
    <w:p>
      <w:pPr>
        <w:pStyle w:val="BodyText1"/>
      </w:pPr>
      <w:r>
        <w:rPr>
          <w:rFonts w:ascii="Traditional Arabic" w:hAnsi="Traditional Arabic" w:cs="Traditional Arabic" w:eastAsia="Traditional Arabic"/>
          <w:rtl/>
        </w:rPr>
        <w:t xml:space="preserve">#٥ أ - موضع الاتفاق</w:t>
      </w:r>
    </w:p>
    <w:p>
      <w:pPr>
        <w:pStyle w:val="BodyText1"/>
      </w:pPr>
      <w:r>
        <w:rPr>
          <w:rFonts w:ascii="Traditional Arabic" w:hAnsi="Traditional Arabic" w:cs="Traditional Arabic" w:eastAsia="Traditional Arabic"/>
          <w:rtl/>
        </w:rPr>
        <w:t xml:space="preserve">الذي يظهر أن الأمة لم تنكر وقوع الحكمة في الأحكام. فقد قال الآمدي: "أئمة الفقه مجمعة على أن أحكام الله تعالى لا تخلو عن حكمة ومقصود، وإن اختلفوا في كون ذلك بطريق الوجوب كما قالت المعتزلة أو بحكم الاتفاق والوقوع من غير وجوب كقول أصحابنا".&lt;الإحكام للآمدي (٣/ ٢٨٥).&gt; وقال الرازي: "قد بينا أن أحكام الله تعالى مشروعة لأجل المصالح".&lt;المحصول للرازي (٥/ ١٩٦).&gt; وجاء في البحر المحيط: "والحق أن رعاية الحكمة لأفعال الله وأحكامه جائز واقع ولم ينكره أحد".&lt;البحر المحيط (٧/ ١٥٨).&gt; فالحكمة واقعة عند الجميع، والخلاف في وصفها.</w:t>
      </w:r>
    </w:p>
    <w:p>
      <w:pPr>
        <w:pStyle w:val="BodyText1"/>
      </w:pPr>
      <w:r>
        <w:rPr>
          <w:rFonts w:ascii="Traditional Arabic" w:hAnsi="Traditional Arabic" w:cs="Traditional Arabic" w:eastAsia="Traditional Arabic"/>
          <w:rtl/>
        </w:rPr>
        <w:t xml:space="preserve">#٥ ب - موضع النزاع</w:t>
      </w:r>
    </w:p>
    <w:p>
      <w:pPr>
        <w:pStyle w:val="BodyText1"/>
      </w:pPr>
      <w:r>
        <w:rPr>
          <w:rFonts w:ascii="Traditional Arabic" w:hAnsi="Traditional Arabic" w:cs="Traditional Arabic" w:eastAsia="Traditional Arabic"/>
          <w:rtl/>
        </w:rPr>
        <w:t xml:space="preserve">والنزاع في أن تكون هذه الحكمة غرضا باعثا لله على الفعل، أو علة موجبة له. فقد قال الرازي: "فثبت أن المناسبة دليل العلية مع القطع بأن أحكام الله تعالى لا تعلل بالأغراض".&lt;المحصول للرازي (٥/ ١٧٩).&gt; فأثبت المناسبة دليلا على العلية، ونفى الغرض في الوقت نفسه، فدل على أن محل النزاع هو الغرض لا المناسبة.</w:t>
      </w:r>
    </w:p>
    <w:p>
      <w:pPr>
        <w:pStyle w:val="BodyText1"/>
      </w:pPr>
      <w:r>
        <w:rPr>
          <w:rFonts w:ascii="Traditional Arabic" w:hAnsi="Traditional Arabic" w:cs="Traditional Arabic" w:eastAsia="Traditional Arabic"/>
          <w:rtl/>
        </w:rPr>
        <w:t xml:space="preserve">#٥ ج - الأقوال</w:t>
      </w:r>
    </w:p>
    <w:p>
      <w:pPr>
        <w:pStyle w:val="BodyText1"/>
      </w:pPr>
      <w:r>
        <w:rPr>
          <w:rFonts w:ascii="Traditional Arabic" w:hAnsi="Traditional Arabic" w:cs="Traditional Arabic" w:eastAsia="Traditional Arabic"/>
          <w:rtl/>
        </w:rPr>
        <w:t xml:space="preserve">والأقوال في المسألة خمسة. الأول: منع تعليل أفعال الله وأحكامه بالأغراض، وهو قول الأشاعرة. قال الرازي: "من مذهبنا أن أحكام الله تعالى وأفعاله لا تعلل بالأغراض فله بحكم المالكية أن يوجب ما شاء على من شاء من غير فائدة ومنفعة أصلا".&lt;المحصول للرازي (١/ ١٥٦).&gt; وجاء في البحر المحيط: "مذهب أهل السنة أن أحكامه تعالى غير معللة بمعنى أنه لا يفعل شيئا لغرض ولا يبعثه شيء على فعل شيء".&lt;البحر المحيط (٧/ ١٥٧).&gt;</w:t>
      </w:r>
    </w:p>
    <w:p>
      <w:pPr>
        <w:pStyle w:val="BodyText1"/>
      </w:pPr>
      <w:r>
        <w:rPr>
          <w:rFonts w:ascii="Traditional Arabic" w:hAnsi="Traditional Arabic" w:cs="Traditional Arabic" w:eastAsia="Traditional Arabic"/>
          <w:rtl/>
        </w:rPr>
        <w:t xml:space="preserve">والثاني: وجوب رعاية الغرض، وهو قول المعتزلة. قال أبو الحسين البصري في شروط الأمر: "فإن كان الآمر هو الله عز وجل وجب أن يعلم من حال المكلف والمأمور به والأمر ما ذكرناه وأن يكون غرضه تعريض المكلف للثواب"، وعلل ذلك بأن الله "مع حكمته لا يجوز أن يلزمنا المشاق مع إمكان إلزامه إيانا غير شاق إلا ليجعل في مقابلته الثواب".&lt;المعتمد في أصول الفقه لأبي الحسين البصري (١/ ١٦٦).&gt;</w:t>
      </w:r>
    </w:p>
    <w:p>
      <w:pPr>
        <w:pStyle w:val="BodyText1"/>
      </w:pPr>
      <w:r>
        <w:rPr>
          <w:rFonts w:ascii="Traditional Arabic" w:hAnsi="Traditional Arabic" w:cs="Traditional Arabic" w:eastAsia="Traditional Arabic"/>
          <w:rtl/>
        </w:rPr>
        <w:t xml:space="preserve">والثالث: جواز التعليل ووقوعه تفضلا لا وجوبا. وهو ما حكاه الرازي، قال: "أما من يقول إن ذلك غير واجب ولكنه تعالى فعله على هذا الوجه تفضلا وإحسانا فذلك الفرق لا يقدح في قوله".&lt;المحصول للرازي (٥/ ١٩٦).&gt; وهو ما نسبه الآمدي لأصحابه في النص المتقدم.&lt;الإحكام للآمدي (٣/ ٢٨٥).&gt;</w:t>
      </w:r>
    </w:p>
    <w:p>
      <w:pPr>
        <w:pStyle w:val="BodyText1"/>
      </w:pPr>
      <w:r>
        <w:rPr>
          <w:rFonts w:ascii="Traditional Arabic" w:hAnsi="Traditional Arabic" w:cs="Traditional Arabic" w:eastAsia="Traditional Arabic"/>
          <w:rtl/>
        </w:rPr>
        <w:t xml:space="preserve">والرابع: إثبات الحكمة والغاية لله تعالى ونفي أن يكون الممتنع هو التعليل. وهو قول ابن القيم، وقد رد على دليل المانعين بما تقدم من التفريق بين نفي الوجوب ونفي الجواز.&lt;شفاء العليل (١/ ٢١٦).&gt; وعقب ابن تيمية على من فسر الحكمة بأن يفعل ما يشاء بما تقدم.&lt;بيان تلبيس الجهمية (٢/ ٥٢).&gt;</w:t>
      </w:r>
    </w:p>
    <w:p>
      <w:pPr>
        <w:pStyle w:val="BodyText1"/>
      </w:pPr>
      <w:r>
        <w:rPr>
          <w:rFonts w:ascii="Traditional Arabic" w:hAnsi="Traditional Arabic" w:cs="Traditional Arabic" w:eastAsia="Traditional Arabic"/>
          <w:rtl/>
        </w:rPr>
        <w:t xml:space="preserve">والخامس: أن الخلاف لفظي. قال صاحب تيسير التحرير: "والأقرب إلى التحقيق أنه أي الخلاف لفظي مبني على معنى الغرض، فمن فسره بالمنفعة العائدة إلى الفاعل قال لا تعلل ولا ينبغي أن ينازع في هذا، ومن فسره بالعائدة إلى العباد قال تعلل وكذلك لا ينبغي أن ينازع فيه".&lt;تيسير التحرير لأمير باد شاه (٣/ ٣٠٤ - ٣٠٥).&gt;</w:t>
      </w:r>
    </w:p>
    <w:p>
      <w:pPr>
        <w:pStyle w:val="BodyText1"/>
      </w:pPr>
      <w:r>
        <w:rPr>
          <w:rFonts w:ascii="Traditional Arabic" w:hAnsi="Traditional Arabic" w:cs="Traditional Arabic" w:eastAsia="Traditional Arabic"/>
          <w:rtl/>
        </w:rPr>
        <w:t xml:space="preserve">#٥ د - أدلة المختار</w:t>
      </w:r>
    </w:p>
    <w:p>
      <w:pPr>
        <w:pStyle w:val="BodyText1"/>
      </w:pPr>
      <w:r>
        <w:rPr>
          <w:rFonts w:ascii="Traditional Arabic" w:hAnsi="Traditional Arabic" w:cs="Traditional Arabic" w:eastAsia="Traditional Arabic"/>
          <w:rtl/>
        </w:rPr>
        <w:t xml:space="preserve">والمختار في هذا المطلب - على ما يظهر من نص تقي الدين - هو منع الباعث على الحكم مع إثبات المقصد. وأدلة المنع ثلاثة. الأول: دليل الاستكمال، وقد ساقه التاج بقوله: "لأن من فعل فعلا لغرض كان حصوله بالنسبة إليه أولى سواء كان ذلك الغرض عائدا إليه أم إلى الغير وإذا كان كذلك يكون ناقصا في نفسه مستكملا في غيره تعالى الله عن ذلك".&lt;الإبهاج (٢/ ٣٧٨).&gt; وهو كلام التاج كما تقدم، وإنما أوردته دليلا للقول لا نسبة لأبيه.</w:t>
      </w:r>
    </w:p>
    <w:p>
      <w:pPr>
        <w:pStyle w:val="BodyText1"/>
      </w:pPr>
      <w:r>
        <w:rPr>
          <w:rFonts w:ascii="Traditional Arabic" w:hAnsi="Traditional Arabic" w:cs="Traditional Arabic" w:eastAsia="Traditional Arabic"/>
          <w:rtl/>
        </w:rPr>
        <w:t xml:space="preserve">والثاني: أن الله لا يسأل عما يفعل. قال الغزالي: "ولم طلبتم لأفعال الله فائدة بل لله تعالى أن ينشئ التكليف في أي وقت شاء ولا يسأل عما يفعل".&lt;المستصفى للغزالي (ص: ٢٣٦).&gt;</w:t>
      </w:r>
    </w:p>
    <w:p>
      <w:pPr>
        <w:pStyle w:val="BodyText1"/>
      </w:pPr>
      <w:r>
        <w:rPr>
          <w:rFonts w:ascii="Traditional Arabic" w:hAnsi="Traditional Arabic" w:cs="Traditional Arabic" w:eastAsia="Traditional Arabic"/>
          <w:rtl/>
        </w:rPr>
        <w:t xml:space="preserve">والثالث: المالكية. وهو ما تقدم عن الرازي: "فله بحكم المالكية أن يوجب ما شاء على من شاء".&lt;المحصول للرازي (١/ ١٥٦).&gt;</w:t>
      </w:r>
    </w:p>
    <w:p>
      <w:pPr>
        <w:pStyle w:val="BodyText1"/>
      </w:pPr>
      <w:r>
        <w:rPr>
          <w:rFonts w:ascii="Traditional Arabic" w:hAnsi="Traditional Arabic" w:cs="Traditional Arabic" w:eastAsia="Traditional Arabic"/>
          <w:rtl/>
        </w:rPr>
        <w:t xml:space="preserve">#٥ هـ - أدلة المخالف والجواب عنها</w:t>
      </w:r>
    </w:p>
    <w:p>
      <w:pPr>
        <w:pStyle w:val="BodyText1"/>
      </w:pPr>
      <w:r>
        <w:rPr>
          <w:rFonts w:ascii="Traditional Arabic" w:hAnsi="Traditional Arabic" w:cs="Traditional Arabic" w:eastAsia="Traditional Arabic"/>
          <w:rtl/>
        </w:rPr>
        <w:t xml:space="preserve">وأدلة المخالف دليلان. الأول دليل المعتزلة المتقدم عن أبي الحسين، وهو أن الله لا يلزم المشاق إلا ليجعل في مقابلتها الثواب.&lt;المعتمد (١/ ١٦٦).&gt; والثاني دليل الآمدي على أن الأحكام لمقاصد، وهو: "أن الله تعالى حكيم في صنعه، فرعاية الغرض في صنعه إما أن يكون واجبا، أو لا يكون واجبا".&lt;الإحكام للآمدي (٣/ ٢٨٥).&gt;</w:t>
      </w:r>
    </w:p>
    <w:p>
      <w:pPr>
        <w:pStyle w:val="BodyText1"/>
      </w:pPr>
      <w:r>
        <w:rPr>
          <w:rFonts w:ascii="Traditional Arabic" w:hAnsi="Traditional Arabic" w:cs="Traditional Arabic" w:eastAsia="Traditional Arabic"/>
          <w:rtl/>
        </w:rPr>
        <w:t xml:space="preserve">والجواب عنهما من وجهين. الأول: أن دليل المانعين - على فرض صحته - لا يلزم منه نفي الجواز، وهو جواب ابن القيم المتقدم.&lt;شفاء العليل (١/ ٢١٦).&gt; والثاني: ما أجاب به الآمدي نفسه عن شبهة المانعين، فقال: "فلا يمتنع أن يكون ذلك لحكمة استأثر الرب تعالى بالعلم بها"، و"إما بمعنى الباعث فلا يمتنع أيضا أن يكون متأخرا ويكون حكم الله القديم بما حكم به لأجل ما سيوجد من المقصود الحادث".&lt;الإحكام للآمدي (٣/ ٢٩٢).&gt;</w:t>
      </w:r>
    </w:p>
    <w:p>
      <w:pPr>
        <w:pStyle w:val="BodyText1"/>
      </w:pPr>
      <w:r>
        <w:rPr>
          <w:rFonts w:ascii="Traditional Arabic" w:hAnsi="Traditional Arabic" w:cs="Traditional Arabic" w:eastAsia="Traditional Arabic"/>
          <w:rtl/>
        </w:rPr>
        <w:t xml:space="preserve">#٥ و - تحرير نسبة المذاهب وتعقب ما يحتاج تعقبا</w:t>
      </w:r>
    </w:p>
    <w:p>
      <w:pPr>
        <w:pStyle w:val="BodyText1"/>
      </w:pPr>
      <w:r>
        <w:rPr>
          <w:rFonts w:ascii="Traditional Arabic" w:hAnsi="Traditional Arabic" w:cs="Traditional Arabic" w:eastAsia="Traditional Arabic"/>
          <w:rtl/>
        </w:rPr>
        <w:t xml:space="preserve">ويحتاج هنا إلى تعقب أمرين. الأول أن الزركشي نسب إلى الآمدي وابن الحاجب اختيار العلة بمعنى الباعث، وجعله "نزعة القائلين بأن الرب تعالى يعلل أفعاله بالأغراض".&lt;البحر المحيط (٧/ ١٤٤).&gt; وقد تقدم أن الآمدي يجعل ذلك بمعنى الأمارة أو الباعث المتأخر، وأن في كلامه أن الحكمة قد "استأثر الرب تعالى بالعلم بها".&lt;الإحكام للآمدي (٣/ ٢٩٢).&gt; فليس كلامه كقول المعتزلة. فينبغي أن لا تسوى نسبته بنسبتهم.</w:t>
      </w:r>
    </w:p>
    <w:p>
      <w:pPr>
        <w:pStyle w:val="BodyText1"/>
      </w:pPr>
      <w:r>
        <w:rPr>
          <w:rFonts w:ascii="Traditional Arabic" w:hAnsi="Traditional Arabic" w:cs="Traditional Arabic" w:eastAsia="Traditional Arabic"/>
          <w:rtl/>
        </w:rPr>
        <w:t xml:space="preserve">والثاني أن إطلاق نسبة منع التعليل إلى «المتكلمين» لا يصح على إطلاقه؛ فقد جاء في البحر المحيط أن ذلك "مذهب أهل السنة"، وأن الفقهاء "لم يخالفوا أهل السنة بل عنوا بالتعليل الحكمة".&lt;البحر المحيط (٧/ ١٥٧).&gt; فالنزاع عند هؤلاء في اللفظ.</w:t>
      </w:r>
    </w:p>
    <w:p>
      <w:pPr>
        <w:pStyle w:val="BodyText1"/>
      </w:pPr>
      <w:r>
        <w:rPr>
          <w:rFonts w:ascii="Traditional Arabic" w:hAnsi="Traditional Arabic" w:cs="Traditional Arabic" w:eastAsia="Traditional Arabic"/>
          <w:rtl/>
        </w:rPr>
        <w:t xml:space="preserve">#٥ ز - ما ألحق بالمسألة وليس منها</w:t>
      </w:r>
    </w:p>
    <w:p>
      <w:pPr>
        <w:pStyle w:val="BodyText1"/>
      </w:pPr>
      <w:r>
        <w:rPr>
          <w:rFonts w:ascii="Traditional Arabic" w:hAnsi="Traditional Arabic" w:cs="Traditional Arabic" w:eastAsia="Traditional Arabic"/>
          <w:rtl/>
        </w:rPr>
        <w:t xml:space="preserve">وقد ألحق بالمسألة بحث لام التعليل في الآيات. وقد نقل الزركشي عن ابن فورك عن الأشعري "أن كل لام نسبها الله لنفسه فهي للعاقبة والصيرورة دون التعليل لاستحالة الغرض".&lt;البحر المحيط (٧/ ٢٤٢).&gt; وجاء في الموضع نفسه: "وإنما اللام الواردة في أحكامه وأفعاله لام الحكم والغاية المطلوبة من الحكمة".&lt;البحر المحيط (٧/ ٢٤٢).&gt; وهذه مسألة لغوية تتفرع عن المسألة، وليست هي بعينها.</w:t>
      </w:r>
    </w:p>
    <w:p>
      <w:pPr>
        <w:pStyle w:val="BodyText1"/>
      </w:pPr>
      <w:r>
        <w:rPr>
          <w:rFonts w:ascii="Traditional Arabic" w:hAnsi="Traditional Arabic" w:cs="Traditional Arabic" w:eastAsia="Traditional Arabic"/>
          <w:rtl/>
        </w:rPr>
        <w:t xml:space="preserve">#٤ رابعا: وجه استنباط السبكي</w:t>
      </w:r>
    </w:p>
    <w:p>
      <w:pPr>
        <w:pStyle w:val="BodyText1"/>
      </w:pPr>
      <w:r>
        <w:rPr>
          <w:rFonts w:ascii="Traditional Arabic" w:hAnsi="Traditional Arabic" w:cs="Traditional Arabic" w:eastAsia="Traditional Arabic"/>
          <w:rtl/>
        </w:rPr>
        <w:t xml:space="preserve">#٥ السياق</w:t>
      </w:r>
    </w:p>
    <w:p>
      <w:pPr>
        <w:pStyle w:val="BodyText1"/>
      </w:pPr>
      <w:r>
        <w:rPr>
          <w:rFonts w:ascii="Traditional Arabic" w:hAnsi="Traditional Arabic" w:cs="Traditional Arabic" w:eastAsia="Traditional Arabic"/>
          <w:rtl/>
        </w:rPr>
        <w:t xml:space="preserve">وللنصين سياقان مختلفان. فنص الفتاوى جاء في جواب عن فهم حديث «لو لم تذنبوا»، فلم يقصد فيه إلى تحرير المسألة، وإنما تعرض لها لأن الجواب عن الحديث يتوقف على موقف منها. ونص «ورد العلل» جاء جوابا عن سؤال تعارض كلام الفقهاء وكلام المتكلمين، فهو الأصل في المسألة عنده.</w:t>
      </w:r>
    </w:p>
    <w:p>
      <w:pPr>
        <w:pStyle w:val="BodyText1"/>
      </w:pPr>
      <w:r>
        <w:rPr>
          <w:rFonts w:ascii="Traditional Arabic" w:hAnsi="Traditional Arabic" w:cs="Traditional Arabic" w:eastAsia="Traditional Arabic"/>
          <w:rtl/>
        </w:rPr>
        <w:t xml:space="preserve">#٥ المسلك الأول: التقدير الشرطي، فلا يتوقف الجواب على حسم الخلاف</w:t>
      </w:r>
    </w:p>
    <w:p>
      <w:pPr>
        <w:pStyle w:val="BodyText1"/>
      </w:pPr>
      <w:r>
        <w:rPr>
          <w:rFonts w:ascii="Traditional Arabic" w:hAnsi="Traditional Arabic" w:cs="Traditional Arabic" w:eastAsia="Traditional Arabic"/>
          <w:rtl/>
        </w:rPr>
        <w:t xml:space="preserve">وأول مسالكه في الفتاوى أنه لم يتوقف في جوابه عن الحديث على حسم المسألة. فقال: "فإن قلنا: إن أفعال الله سبحانه وتعالى لا تعلل كما هو مذهب كثير من المتكلمين فذاك"، فإن منعنا التعليل "فظاهر"، وإن عللنا فلا يلزم المحذور.&lt;فتاوى السبكي (٢/ ٤٨٢).&gt; وفي نسبته المنع إلى «كثير من المتكلمين» دون الجميع تحفظ يوافق ما تقدم من أن في الأمة من أثبت الحكمة.</w:t>
      </w:r>
    </w:p>
    <w:p>
      <w:pPr>
        <w:pStyle w:val="BodyText1"/>
      </w:pPr>
      <w:r>
        <w:rPr>
          <w:rFonts w:ascii="Traditional Arabic" w:hAnsi="Traditional Arabic" w:cs="Traditional Arabic" w:eastAsia="Traditional Arabic"/>
          <w:rtl/>
        </w:rPr>
        <w:t xml:space="preserve">#٥ المسلك الثاني: التفريق بين الإرادة والرضا والمحبة والطلب</w:t>
      </w:r>
    </w:p>
    <w:p>
      <w:pPr>
        <w:pStyle w:val="BodyText1"/>
      </w:pPr>
      <w:r>
        <w:rPr>
          <w:rFonts w:ascii="Traditional Arabic" w:hAnsi="Traditional Arabic" w:cs="Traditional Arabic" w:eastAsia="Traditional Arabic"/>
          <w:rtl/>
        </w:rPr>
        <w:t xml:space="preserve">وثانيها أنه فرق بين أربعة معان: الإرادة، والرضا، والمحبة، والطلب. وبنى عليها أن الحديث لا يدل على أن الذنوب مطلوبة ولا يتقرب بها. وبيانه أن الله قد يريد المجيء بقوم يذنبون فيستغفرون، ولا يلزم أن يكون الذنب مطلوبا؛ لأن "الإرادة غير الرضا والمحبة" وهذه "غير الطلب".&lt;فتاوى السبكي (٢/ ٤٨٢).&gt; وبهذا الفرق يجيب عن الحديث على القولين معا.</w:t>
      </w:r>
    </w:p>
    <w:p>
      <w:pPr>
        <w:pStyle w:val="BodyText1"/>
      </w:pPr>
      <w:r>
        <w:rPr>
          <w:rFonts w:ascii="Traditional Arabic" w:hAnsi="Traditional Arabic" w:cs="Traditional Arabic" w:eastAsia="Traditional Arabic"/>
          <w:rtl/>
        </w:rPr>
        <w:t xml:space="preserve">#٥ المسلك الثالث: نقل محل التعليل من الشارع إلى المكلف</w:t>
      </w:r>
    </w:p>
    <w:p>
      <w:pPr>
        <w:pStyle w:val="BodyText1"/>
      </w:pPr>
      <w:r>
        <w:rPr>
          <w:rFonts w:ascii="Traditional Arabic" w:hAnsi="Traditional Arabic" w:cs="Traditional Arabic" w:eastAsia="Traditional Arabic"/>
          <w:rtl/>
        </w:rPr>
        <w:t xml:space="preserve">وثالثها وهو أهمها، ما ذكره في «ورد العلل»: أنه نقل العلة من الحكم إلى فعل المكلف. ووجه الاستنباط أنه رأى أن تعارض الفقهاء والمتكلمين يزول إذا ميز بين ثلاث مراتب، فجعل الباعث على الثاني لا الأول: "وهو باعث على الثاني لا على الأول".&lt;الإبهاج (٦/ ٢٢٨٩).&gt; وعلة امتناع البعث على الحكم عنده هي القدرة: "لأنه قادر أن يحفظ النفوس بدون ذلك".&lt;الإبهاج (٦/ ٢٢٨٧ - ٢٢٨٨).&gt; فالله لو شاء لحفظ النفوس بغير القصاص، فلا يكون القصاص مفتقرا إلى باعث يحمل الله عليه.</w:t>
      </w:r>
    </w:p>
    <w:p>
      <w:pPr>
        <w:pStyle w:val="BodyText1"/>
      </w:pPr>
      <w:r>
        <w:rPr>
          <w:rFonts w:ascii="Traditional Arabic" w:hAnsi="Traditional Arabic" w:cs="Traditional Arabic" w:eastAsia="Traditional Arabic"/>
          <w:rtl/>
        </w:rPr>
        <w:t xml:space="preserve">وهذا هو موضع الدقة في كلامه؛ فإنه لم يقل إن الحكم لا مقصود له، بل أثبت المقصدين ثم أحال الباعث إلى المكلف، فحفظ المقصد وحفظ التنزيه معا. وقد استثمر ذلك في الأجر، فجعل للمكلف أجرين: أجرا على القصاص وأجرا على حفظ النفوس،&lt;الإبهاج (٦/ ٢٢٨٨).&gt; وهو ما لم أقف عليه عند من قبله.</w:t>
      </w:r>
    </w:p>
    <w:p>
      <w:pPr>
        <w:pStyle w:val="BodyText1"/>
      </w:pPr>
      <w:r>
        <w:rPr>
          <w:rFonts w:ascii="Traditional Arabic" w:hAnsi="Traditional Arabic" w:cs="Traditional Arabic" w:eastAsia="Traditional Arabic"/>
          <w:rtl/>
        </w:rPr>
        <w:t xml:space="preserve">#٥ ما سبقه إليه غيره وما زاده</w:t>
      </w:r>
    </w:p>
    <w:p>
      <w:pPr>
        <w:pStyle w:val="BodyText1"/>
      </w:pPr>
      <w:r>
        <w:rPr>
          <w:rFonts w:ascii="Traditional Arabic" w:hAnsi="Traditional Arabic" w:cs="Traditional Arabic" w:eastAsia="Traditional Arabic"/>
          <w:rtl/>
        </w:rPr>
        <w:t xml:space="preserve">وقد وصف التاج هذا الجواب بأنه "بديع من القول"،&lt;الإبهاج (٦/ ٢٢٨٧).&gt; وهذا حكاية عن الولد لا شهادة مستقلة. ولم أقف على من سبقه إلى هذا التفريق بلفظه، لكن وقفت في البحر المحيط على مخرج قريب منه، وهو أن الفقهاء "عنوا بالتعليل الحكمة"،&lt;البحر المحيط (٧/ ١٥٧).&gt; ولم يعز الزركشي هذا النص إلى قائل، فلا أدري أسبق تقي الدين أم لحقه. ومما زاده عندي: تفصيل المراتب الثلاث، وربط ذلك بالأجر، وأن التعبدي فيه معنى آخر.</w:t>
      </w:r>
    </w:p>
    <w:p>
      <w:pPr>
        <w:pStyle w:val="BodyText1"/>
      </w:pPr>
      <w:r>
        <w:rPr>
          <w:rFonts w:ascii="Traditional Arabic" w:hAnsi="Traditional Arabic" w:cs="Traditional Arabic" w:eastAsia="Traditional Arabic"/>
          <w:rtl/>
        </w:rPr>
        <w:t xml:space="preserve">#٥ تحرير مأخذ المخالف</w:t>
      </w:r>
    </w:p>
    <w:p>
      <w:pPr>
        <w:pStyle w:val="BodyText1"/>
      </w:pPr>
      <w:r>
        <w:rPr>
          <w:rFonts w:ascii="Traditional Arabic" w:hAnsi="Traditional Arabic" w:cs="Traditional Arabic" w:eastAsia="Traditional Arabic"/>
          <w:rtl/>
        </w:rPr>
        <w:t xml:space="preserve">وقد تعقب العطار هذا الجواب فقال: "هذا أمر مخترع لوالد المصنف لا معنى له؛ لأن البعث للحاكم على شرع الحكم أي إظهار تعلقه بأفعال المكلفين لا للمكلف".&lt;حاشية العطار على شرح الجلال المحلي على جمع الجوامع (٢/ ٢٧٥).&gt; ومأخذه أن الفقهاء يريدون بالباعث ما يبعث الشارع على شرع الحكم، فنقله إلى المكلف تأويل لكلامهم لا حكاية له. وهذا التعقب متجه من جهة أن تقي الدين قرر مراد الفقهاء بقوله: "لأن المراد أن العلة باعثة على فعل المكلف"،&lt;الإبهاج (٦/ ٢٢٨٧).&gt; وهو مما لم يصرحوا به فيما وقفت عليه. ويخفف من أثره أمران: أن أصل ما أثبته - وهو أن حكم الشرع لا باعث عليه وأن المقصود ثابت - لا يتوقف على صحة نسبة هذا المراد إلى الفقهاء؛ وأن حمل «التعليل» على الحكمة قول جاء في البحر المحيط عن الفقهاء: "عنوا بالتعليل الحكمة".&lt;البحر المحيط (٧/ ١٥٧).&gt; وقد جاء في البحر المحيط بعد ذلك: "وكان بعضهم يجمع بينهما ويقول في تفسير المتكلمين: إن الأحكام وقعت على وفق المصالح لا أنها علة لها، وهذا وحده لا ينشرح له الصدر".&lt;البحر المحيط (٧/ ١٥٩).&gt; ولم أقف على قائل هذه العبارة الأخيرة؛ يعرض على الدكتور.</w:t>
      </w:r>
    </w:p>
    <w:p>
      <w:pPr>
        <w:pStyle w:val="BodyText1"/>
      </w:pPr>
      <w:r>
        <w:rPr>
          <w:rFonts w:ascii="Traditional Arabic" w:hAnsi="Traditional Arabic" w:cs="Traditional Arabic" w:eastAsia="Traditional Arabic"/>
          <w:rtl/>
        </w:rPr>
        <w:t xml:space="preserve">#٤ خامسا: تصريحه في مصنفاته الأخرى</w:t>
      </w:r>
    </w:p>
    <w:p>
      <w:pPr>
        <w:pStyle w:val="BodyText1"/>
      </w:pPr>
      <w:r>
        <w:rPr>
          <w:rFonts w:ascii="Traditional Arabic" w:hAnsi="Traditional Arabic" w:cs="Traditional Arabic" w:eastAsia="Traditional Arabic"/>
          <w:rtl/>
        </w:rPr>
        <w:t xml:space="preserve">والتصريح في مصنفاته الأخرى على ثلاثة أوجه. الأول: الفتاوى، وفيها نصه المتقدم (٢/ ٤٨٢)، وقد بحثت في الفتاوى بعبارتي «أفعال الله لا تعلل» و«الله يفعل لحكمة» فلم أقف على غير هذا الموضع. والثاني: الإبهاج، وفيه قسم الأب (٢/ ٣٠١ - ٣٠٣) وقد قرأته فلم أجد فيه كلاما في المسألة. وأما ما في (٢/ ٣٧٨) من منع التعليل فهو بعد الحد الفاصل، فهو للتاج لا لأبيه. والثالث: «ورد العلل في فهم العلل» وهو منقول في الإبهاج (٦/ ٢٢٨٧ - ٢٢٨٩)، وقد تقدم. وقد ذكر ثبت المطبوع من مصنفاته أن له تحقيقا، فقال: "ورد العلل في فهم العلل، حققه الدكتور علي بن صالح المحمادي".&lt;فصل المقال في هدايا العمال لتقي الدين السبكي (١/ ٢٤).&gt; ولم أصل إلى هذا التحقيق، فيعرض على الدكتور.</w:t>
      </w:r>
    </w:p>
    <w:p>
      <w:pPr>
        <w:pStyle w:val="BodyText1"/>
      </w:pPr>
      <w:r>
        <w:rPr>
          <w:rFonts w:ascii="Traditional Arabic" w:hAnsi="Traditional Arabic" w:cs="Traditional Arabic" w:eastAsia="Traditional Arabic"/>
          <w:rtl/>
        </w:rPr>
        <w:t xml:space="preserve">وأما ما نقله عنه المتأخرون فقد تقدم نقل الزركشي بلا تسمية، وتعقب العطار بتسميته «والد المصنف». ولم أقف على نقل عنه باسمه الصريح في البحر المحيط. وفي حاشية العطار (٢/ ٢٧٥) عبارة في أول الصفحة: "أراد أنها باعثة للمكلف على الامتثال نبه عليه أبي رحمه الله تعالى وسيأتي بيانه"،&lt;حاشية العطار على شرح الجلال المحلي على جمع الجوامع (٢/ ٢٧٥).&gt; وهي في موضع الكلام على العلة بمعنى الباعث، ولم يتبين لي هل هي من متن جمع الجوامع أو من كلام شارحه؛ فلا أبني عليها، وأثبتها لتعرض على الدكتور.</w:t>
      </w:r>
    </w:p>
    <w:p>
      <w:pPr>
        <w:pStyle w:val="BodyText1"/>
      </w:pPr>
      <w:r>
        <w:rPr>
          <w:rFonts w:ascii="Traditional Arabic" w:hAnsi="Traditional Arabic" w:cs="Traditional Arabic" w:eastAsia="Traditional Arabic"/>
          <w:rtl/>
        </w:rPr>
        <w:t xml:space="preserve">#٤ سادسا: الترجيح وثمرة القاعدة</w:t>
      </w:r>
    </w:p>
    <w:p>
      <w:pPr>
        <w:pStyle w:val="BodyText1"/>
      </w:pPr>
      <w:r>
        <w:rPr>
          <w:rFonts w:ascii="Traditional Arabic" w:hAnsi="Traditional Arabic" w:cs="Traditional Arabic" w:eastAsia="Traditional Arabic"/>
          <w:rtl/>
        </w:rPr>
        <w:t xml:space="preserve">#٥ الترجيح</w:t>
      </w:r>
    </w:p>
    <w:p>
      <w:pPr>
        <w:pStyle w:val="BodyText1"/>
      </w:pPr>
      <w:r>
        <w:rPr>
          <w:rFonts w:ascii="Traditional Arabic" w:hAnsi="Traditional Arabic" w:cs="Traditional Arabic" w:eastAsia="Traditional Arabic"/>
          <w:rtl/>
        </w:rPr>
        <w:t xml:space="preserve">والذي يترجح - والله أعلم - أن القاعدة بالصياغة التي صغتها صحيحة في إثبات الفرق بين الباعث على الحكم والباعث على فعل المكلف، وأنها تحفظ الأمرين: تنزيه الله عن الاستكمال، وإثبات المقصود في الأحكام. وبيانه أن المانعين إنما احتجوا بدليل الاستكمال، وهو يتعلق بالباعث على فعل الله، لا بوجود المقصود في الحكم. وأن المثبتين - كما نقل الآمدي - لا ينكرون أن يكون ذلك المقصود "لحكمة استأثر الرب تعالى بالعلم بها".&lt;الإحكام للآمدي (٣/ ٢٩٢).&gt; ويؤيد ذلك ما حكاه صاحب تيسير التحرير من أن الخلاف لفظي مبني على معنى الغرض.&lt;تيسير التحرير (٣/ ٣٠٤ - ٣٠٥).&gt; وأما قول ابن القيم إن نفي الوجوب لا يستلزم نفي الجواز فهو يعترض على دليل المانعين لا على قاعدة تقي الدين، فإن قاعدته لا تنفي الحكمة.&lt;شفاء العليل (١/ ٢١٦).&gt;</w:t>
      </w:r>
    </w:p>
    <w:p>
      <w:pPr>
        <w:pStyle w:val="BodyText1"/>
      </w:pPr>
      <w:r>
        <w:rPr>
          <w:rFonts w:ascii="Traditional Arabic" w:hAnsi="Traditional Arabic" w:cs="Traditional Arabic" w:eastAsia="Traditional Arabic"/>
          <w:rtl/>
        </w:rPr>
        <w:t xml:space="preserve">#٥ ثمرة القاعدة في المسألة المستنبط منها</w:t>
      </w:r>
    </w:p>
    <w:p>
      <w:pPr>
        <w:pStyle w:val="BodyText1"/>
      </w:pPr>
      <w:r>
        <w:rPr>
          <w:rFonts w:ascii="Traditional Arabic" w:hAnsi="Traditional Arabic" w:cs="Traditional Arabic" w:eastAsia="Traditional Arabic"/>
          <w:rtl/>
        </w:rPr>
        <w:t xml:space="preserve">وثمرة القاعدة في نص الفتاوى أن حديث «لو لم تذنبوا» لا يدل على أن شيئا من الذنوب مطلوب أو محبوب أو يتقرب به،&lt;فتاوى السبكي (٢/ ٤٨٢).&gt; وأنه لا يلزم من إرادة الله مجيء قوم يذنبون أن يكون الذنب مطلوبا.</w:t>
      </w:r>
    </w:p>
    <w:p>
      <w:pPr>
        <w:pStyle w:val="BodyText1"/>
      </w:pPr>
      <w:r>
        <w:rPr>
          <w:rFonts w:ascii="Traditional Arabic" w:hAnsi="Traditional Arabic" w:cs="Traditional Arabic" w:eastAsia="Traditional Arabic"/>
          <w:rtl/>
        </w:rPr>
        <w:t xml:space="preserve">#٥ ثمراتها الأخرى</w:t>
      </w:r>
    </w:p>
    <w:p>
      <w:pPr>
        <w:pStyle w:val="BodyText1"/>
      </w:pPr>
      <w:r>
        <w:rPr>
          <w:rFonts w:ascii="Traditional Arabic" w:hAnsi="Traditional Arabic" w:cs="Traditional Arabic" w:eastAsia="Traditional Arabic"/>
          <w:rtl/>
        </w:rPr>
        <w:t xml:space="preserve">ولها ثمرات أخرى. الأولى: ما بينه في «ورد العلل» من أن المعقول المعنى أكثر أجرا من التعبدي، وأن العلة القاصرة فيها فائدة.&lt;الإبهاج (٦/ ٢٢٨٨ - ٢٢٨٩).&gt; والثانية: ما يتصل بالباعث عند المكلف، وقد قال تقي الدين في الفتاوى: "ويجوز أن يكون للفعل الواحد باعثان وأكثر وسع بهما".&lt;فتاوى السبكي (١/ ١٦٤).&gt; وقال: "ينبغي للعبد أن يلاحظ جانب أمر الله تعالى في ذلك"، وأنه "إذا كان باعث الأمر راجحا فإن الأجر حاصل".&lt;فتاوى السبكي (٢/ ٥٢١).&gt; وهذا يوافق ما قرره في «ورد العلل» من أن المكلف يفعل ما أمره الله به قاصدا المعنى، فيكون له أجران. ومع أن النصين في موضعين مختلفين، فإن الجمع بينهما - والله أعلم - يظهر قاعدة واحدة عنده في أن الباعث الذي يعتبر في الأجر هو باعث المكلف.</w:t>
      </w:r>
    </w:p>
    <w:sectPr>
      <w:footerReference w:type="default" r:id="rIdFooter"/>
      <w:footnotePr>
        <w:numFmt w:val="hindiNumbers"/>
      </w:footnotePr>
      <w:pgSz w:w="11906" w:h="16838"/>
      <w:pgMar w:top="1417" w:right="1417" w:bottom="1417" w:left="1417" w:header="709" w:footer="709" w:gutter="0"/>
      <w:pgNumType w:fmt="hindiNumbers"/>
      <w:bidi/>
    </w:sectPr>
  </w:body>
</w:document>
</file>

<file path=word/footer1.xml><?xml version="1.0" encoding="utf-8"?>
<w:ftr xmlns:w="http://schemas.openxmlformats.org/wordprocessingml/2006/main" xmlns:r="http://schemas.openxmlformats.org/officeDocument/2006/relationships">
  <w:p>
    <w:pPr>
      <w:pStyle w:val="Footer"/>
      <w:bidi/>
      <w:jc w:val="center"/>
    </w:pPr>
    <w:r>
      <w:rPr>
        <w:rFonts w:ascii="Traditional Arabic" w:hAnsi="Traditional Arabic" w:cs="Traditional Arabic" w:eastAsia="Traditional Arabic"/>
        <w:rtl/>
      </w:rPr>
      <w:fldChar w:fldCharType="begin"/>
    </w:r>
    <w:r>
      <w:rPr>
        <w:rFonts w:ascii="Traditional Arabic" w:hAnsi="Traditional Arabic" w:cs="Traditional Arabic" w:eastAsia="Traditional Arabic"/>
        <w:rtl/>
      </w:rPr>
      <w:instrText xml:space="preserve"> PAGE </w:instrText>
    </w:r>
    <w:r>
      <w:rPr>
        <w:rFonts w:ascii="Traditional Arabic" w:hAnsi="Traditional Arabic" w:cs="Traditional Arabic" w:eastAsia="Traditional Arabic"/>
        <w:rtl/>
      </w:rPr>
      <w:fldChar w:fldCharType="separate"/>
    </w:r>
    <w:r>
      <w:rPr>
        <w:rFonts w:ascii="Traditional Arabic" w:hAnsi="Traditional Arabic" w:cs="Traditional Arabic" w:eastAsia="Traditional Arabic"/>
        <w:rtl/>
      </w:rPr>
      <w:t>١</w:t>
    </w:r>
    <w:r>
      <w:rPr>
        <w:rFonts w:ascii="Traditional Arabic" w:hAnsi="Traditional Arabic" w:cs="Traditional Arabic" w:eastAsia="Traditional Arabic"/>
        <w:rtl/>
      </w:rPr>
      <w:fldChar w:fldCharType="end"/>
    </w:r>
  </w:p>
</w:ftr>
</file>

<file path=word/settings.xml><?xml version="1.0" encoding="utf-8"?>
<w:settings xmlns:w="http://schemas.openxmlformats.org/wordprocessingml/2006/main" xmlns:r="http://schemas.openxmlformats.org/officeDocument/2006/relationships">
  <w:zoom w:percent="100"/>
  <w:defaultTabStop w:val="720"/>
  <w:characterSpacingControl w:val="doNotCompress"/>
  <w:themeFontLang w:val="en-US" w:bidi="ar-SA"/>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raditional Arabic" w:hAnsi="Traditional Arabic" w:cs="Traditional Arabic" w:eastAsia="Traditional Arabic"/>
        <w:sz w:val="36"/>
        <w:szCs w:val="36"/>
        <w:lang w:val="ar-SA" w:bidi="ar-SA"/>
      </w:rPr>
    </w:rPrDefault>
    <w:pPrDefault>
      <w:pPr>
        <w:bidi/>
        <w:spacing w:after="160" w:line="240" w:lineRule="auto"/>
        <w:jc w:val="both"/>
      </w:pPr>
    </w:pPrDefault>
  </w:docDefaults>
  <w:style w:type="paragraph" w:default="1" w:styleId="Normal">
    <w:name w:val="Normal"/>
    <w:qFormat/>
  </w:style>
  <w:style w:type="paragraph" w:styleId="BodyText1">
    <w:name w:val="Body Text 1"/>
    <w:basedOn w:val="Normal"/>
    <w:qFormat/>
    <w:pPr>
      <w:bidi/>
      <w:spacing w:after="160" w:line="240" w:lineRule="auto"/>
      <w:ind w:firstLine="283"/>
      <w:jc w:val="both"/>
    </w:pPr>
    <w:rPr>
      <w:rFonts w:ascii="Traditional Arabic" w:hAnsi="Traditional Arabic" w:cs="Traditional Arabic" w:eastAsia="Traditional Arabic"/>
      <w:sz w:val="36"/>
      <w:szCs w:val="36"/>
      <w:rtl/>
    </w:rPr>
  </w:style>
  <w:style w:type="paragraph" w:styleId="Heading1">
    <w:name w:val="heading 1"/>
    <w:basedOn w:val="Normal"/>
    <w:next w:val="BodyText1"/>
    <w:qFormat/>
    <w:pPr>
      <w:keepNext/>
      <w:bidi/>
      <w:spacing w:before="240" w:after="160" w:line="240" w:lineRule="auto"/>
      <w:jc w:val="both"/>
      <w:outlineLvl w:val="0"/>
    </w:pPr>
    <w:rPr>
      <w:rFonts w:ascii="Traditional Arabic" w:hAnsi="Traditional Arabic" w:cs="Traditional Arabic" w:eastAsia="Traditional Arabic"/>
      <w:b/>
      <w:bCs/>
      <w:sz w:val="44"/>
      <w:szCs w:val="44"/>
      <w:rtl/>
    </w:rPr>
  </w:style>
  <w:style w:type="paragraph" w:styleId="Heading2">
    <w:name w:val="heading 2"/>
    <w:basedOn w:val="Normal"/>
    <w:next w:val="BodyText1"/>
    <w:qFormat/>
    <w:pPr>
      <w:keepNext/>
      <w:bidi/>
      <w:spacing w:before="240" w:after="160" w:line="240" w:lineRule="auto"/>
      <w:jc w:val="both"/>
      <w:outlineLvl w:val="1"/>
    </w:pPr>
    <w:rPr>
      <w:rFonts w:ascii="Traditional Arabic" w:hAnsi="Traditional Arabic" w:cs="Traditional Arabic" w:eastAsia="Traditional Arabic"/>
      <w:b/>
      <w:bCs/>
      <w:sz w:val="40"/>
      <w:szCs w:val="40"/>
      <w:rtl/>
    </w:rPr>
  </w:style>
  <w:style w:type="paragraph" w:styleId="Heading3">
    <w:name w:val="heading 3"/>
    <w:basedOn w:val="Normal"/>
    <w:next w:val="BodyText1"/>
    <w:qFormat/>
    <w:pPr>
      <w:keepNext/>
      <w:bidi/>
      <w:spacing w:before="240" w:after="160" w:line="240" w:lineRule="auto"/>
      <w:jc w:val="both"/>
      <w:outlineLvl w:val="2"/>
    </w:pPr>
    <w:rPr>
      <w:rFonts w:ascii="Traditional Arabic" w:hAnsi="Traditional Arabic" w:cs="Traditional Arabic" w:eastAsia="Traditional Arabic"/>
      <w:b/>
      <w:bCs/>
      <w:sz w:val="44"/>
      <w:szCs w:val="44"/>
      <w:rtl/>
    </w:rPr>
  </w:style>
  <w:style w:type="paragraph" w:styleId="Heading4">
    <w:name w:val="heading 4"/>
    <w:basedOn w:val="Normal"/>
    <w:next w:val="BodyText1"/>
    <w:qFormat/>
    <w:pPr>
      <w:keepNext/>
      <w:bidi/>
      <w:spacing w:before="240" w:after="160" w:line="240" w:lineRule="auto"/>
      <w:jc w:val="both"/>
      <w:outlineLvl w:val="3"/>
    </w:pPr>
    <w:rPr>
      <w:rFonts w:ascii="Traditional Arabic" w:hAnsi="Traditional Arabic" w:cs="Traditional Arabic" w:eastAsia="Traditional Arabic"/>
      <w:b/>
      <w:bCs/>
      <w:sz w:val="40"/>
      <w:szCs w:val="40"/>
      <w:rtl/>
    </w:rPr>
  </w:style>
  <w:style w:type="paragraph" w:styleId="Heading5">
    <w:name w:val="heading 5"/>
    <w:basedOn w:val="Normal"/>
    <w:next w:val="BodyText1"/>
    <w:qFormat/>
    <w:pPr>
      <w:keepNext/>
      <w:bidi/>
      <w:spacing w:before="240" w:after="160" w:line="240" w:lineRule="auto"/>
      <w:jc w:val="both"/>
      <w:outlineLvl w:val="4"/>
    </w:pPr>
    <w:rPr>
      <w:rFonts w:ascii="Traditional Arabic" w:hAnsi="Traditional Arabic" w:cs="Traditional Arabic" w:eastAsia="Traditional Arabic"/>
      <w:b/>
      <w:bCs/>
      <w:sz w:val="36"/>
      <w:szCs w:val="36"/>
      <w:rtl/>
    </w:rPr>
  </w:style>
  <w:style w:type="paragraph" w:styleId="FootnoteText">
    <w:name w:val="footnote text"/>
    <w:basedOn w:val="Normal"/>
    <w:pPr>
      <w:bidi/>
      <w:spacing w:after="40" w:line="240" w:lineRule="auto"/>
      <w:jc w:val="both"/>
    </w:pPr>
    <w:rPr>
      <w:rFonts w:ascii="Traditional Arabic" w:hAnsi="Traditional Arabic" w:cs="Traditional Arabic" w:eastAsia="Traditional Arabic"/>
      <w:sz w:val="28"/>
      <w:szCs w:val="28"/>
    </w:rPr>
  </w:style>
  <w:style w:type="character" w:styleId="FootnoteReference">
    <w:name w:val="footnote reference"/>
    <w:rPr>
      <w:vertAlign w:val="superscript"/>
    </w:rPr>
  </w:style>
  <w:style w:type="paragraph" w:styleId="Footer">
    <w:name w:val="footer"/>
    <w:basedOn w:val="Normal"/>
    <w:pPr>
      <w:jc w:val="center"/>
    </w:p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Footer" Type="http://schemas.openxmlformats.org/officeDocument/2006/relationships/footer" Target="footer1.xml"/></Relationships>
</file>

<file path=docProps/app.xml><?xml version="1.0" encoding="utf-8"?>
<Properties xmlns="http://schemas.openxmlformats.org/officeDocument/2006/extended-properties">
  <Application>build.py</Application>
</Properties>
</file>

<file path=docProps/core.xml><?xml version="1.0" encoding="utf-8"?>
<cp:coreProperties xmlns:cp="http://schemas.openxmlformats.org/package/2006/metadata/core-properties" xmlns:dc="http://purl.org/dc/elements/1.1/" xmlns:dcterms="http://purl.org/dc/terms/" xmlns:xsi="http://www.w3.org/2001/XMLSchema-instance">
  <dc:title>التحسين والتقبيح العقليان</dc:title>
  <dc:creator>عبدالله العزب</dc:creator>
  <cp:lastModifiedBy>عبدالله العزب</cp:lastModifiedBy>
  <dcterms:created xsi:type="dcterms:W3CDTF">2026-10-02T11:28:02Z</dcterms:created>
  <dcterms:modified xsi:type="dcterms:W3CDTF">2026-10-02T11:28:02Z</dcterms:modified>
</cp:coreProperties>
</file>