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bidi/>
        <w:spacing w:after="200"/>
        <w:jc w:val="center"/>
      </w:pPr>
      <w:r>
        <w:rPr>
          <w:rFonts w:ascii="Arial" w:cs="Arial" w:eastAsia="Arial" w:hAnsi="Arial"/>
          <w:b/>
          <w:bCs/>
          <w:color w:val="1F3864"/>
          <w:sz w:val="44"/>
          <w:szCs w:val="44"/>
          <w:rtl/>
        </w:rPr>
        <w:t xml:space="preserve">إطار حوكمة السياسات والإجراءات المؤسسية</w:t>
      </w:r>
    </w:p>
    <w:p>
      <w:pPr>
        <w:bidi w:val="false"/>
        <w:spacing w:after="600"/>
        <w:jc w:val="center"/>
      </w:pPr>
      <w:r>
        <w:rPr>
          <w:rFonts w:ascii="Arial" w:cs="Arial" w:eastAsia="Arial" w:hAnsi="Arial"/>
          <w:i/>
          <w:iCs/>
          <w:color w:val="555555"/>
          <w:sz w:val="24"/>
          <w:szCs w:val="24"/>
        </w:rPr>
        <w:t xml:space="preserve">Macrocore — Policies &amp; Procedures (P&amp;P) Governance Framework</w:t>
      </w:r>
    </w:p>
    <w:p>
      <w:pPr>
        <w:bidi/>
        <w:spacing w:after="150"/>
        <w:jc w:val="center"/>
      </w:pPr>
      <w:r>
        <w:rPr>
          <w:rFonts w:ascii="Arial" w:cs="Arial" w:eastAsia="Arial" w:hAnsi="Arial"/>
          <w:sz w:val="24"/>
          <w:szCs w:val="24"/>
          <w:rtl/>
        </w:rPr>
        <w:t xml:space="preserve">وثيقة صادرة عن: إدارة الحوكمة والامتثال</w:t>
      </w:r>
    </w:p>
    <w:p>
      <w:pPr>
        <w:bidi/>
        <w:spacing w:after="150"/>
        <w:jc w:val="center"/>
      </w:pPr>
      <w:r>
        <w:rPr>
          <w:rFonts w:ascii="Arial" w:cs="Arial" w:eastAsia="Arial" w:hAnsi="Arial"/>
          <w:sz w:val="24"/>
          <w:szCs w:val="24"/>
          <w:rtl/>
        </w:rPr>
        <w:t xml:space="preserve">إعداد: عبدالله خالد الخضير</w:t>
      </w:r>
    </w:p>
    <w:p>
      <w:pPr>
        <w:bidi/>
        <w:spacing w:after="150"/>
        <w:jc w:val="center"/>
      </w:pPr>
      <w:r>
        <w:rPr>
          <w:rFonts w:ascii="Arial" w:cs="Arial" w:eastAsia="Arial" w:hAnsi="Arial"/>
          <w:sz w:val="24"/>
          <w:szCs w:val="24"/>
          <w:rtl/>
        </w:rPr>
        <w:t xml:space="preserve">التاريخ: ٢٤ أغسطس ٢٠٢٦</w:t>
      </w:r>
    </w:p>
    <w:p>
      <w:pPr>
        <w:bidi/>
        <w:jc w:val="center"/>
      </w:pPr>
      <w:r>
        <w:rPr>
          <w:rFonts w:ascii="Arial" w:cs="Arial" w:eastAsia="Arial" w:hAnsi="Arial"/>
          <w:i/>
          <w:iCs/>
          <w:color w:val="777777"/>
          <w:sz w:val="22"/>
          <w:szCs w:val="22"/>
          <w:rtl/>
        </w:rPr>
        <w:t xml:space="preserve">التصنيف: داخلي — للاستخدام الإداري</w:t>
      </w:r>
    </w:p>
    <w:p>
      <w:pPr>
        <w:pageBreakBefore/>
      </w:pPr>
      <w:r>
        <w:br/>
        <w:t xml:space="preserve"/>
      </w:r>
    </w:p>
    <w:p>
      <w:pPr>
        <w:pStyle w:val="Heading1"/>
        <w:pBdr>
          <w:bottom w:val="single" w:color="2E5395" w:sz="6" w:space="4"/>
        </w:pBdr>
        <w:bidi/>
        <w:spacing w:after="200" w:before="400"/>
        <w:jc w:val="right"/>
      </w:pPr>
      <w:r>
        <w:rPr>
          <w:rFonts w:ascii="Arial" w:cs="Arial" w:eastAsia="Arial" w:hAnsi="Arial"/>
          <w:b/>
          <w:bCs/>
          <w:color w:val="1F3864"/>
          <w:sz w:val="32"/>
          <w:szCs w:val="32"/>
          <w:rtl/>
        </w:rPr>
        <w:t xml:space="preserve">1. تمهيد وهدف الوثيقة</w:t>
      </w:r>
    </w:p>
    <w:p>
      <w:pPr>
        <w:bidi/>
        <w:spacing w:after="120"/>
        <w:jc w:val="right"/>
      </w:pPr>
      <w:r>
        <w:rPr>
          <w:rFonts w:ascii="Arial" w:cs="Arial" w:eastAsia="Arial" w:hAnsi="Arial"/>
          <w:b w:val="false"/>
          <w:bCs w:val="false"/>
          <w:i w:val="false"/>
          <w:iCs w:val="false"/>
          <w:sz w:val="22"/>
          <w:szCs w:val="22"/>
          <w:rtl/>
        </w:rPr>
        <w:t xml:space="preserve">تهدف هذه الوثيقة إلى إرساء إطار موحّد لحوكمة السياسات والإجراءات الداخلية عبر جميع أقسام النظام التشغيلي الموحّد، بحيث تُبنى كل سياسة على دورة حياة إدارية واضحة، وتُربط بمتطلبات إقرار رسمية قبل منح أي صلاحية دخول للنظام.</w:t>
      </w:r>
    </w:p>
    <w:p>
      <w:pPr>
        <w:bidi/>
        <w:spacing w:after="120"/>
        <w:jc w:val="right"/>
      </w:pPr>
      <w:r>
        <w:rPr>
          <w:rFonts w:ascii="Arial" w:cs="Arial" w:eastAsia="Arial" w:hAnsi="Arial"/>
          <w:b w:val="false"/>
          <w:bCs w:val="false"/>
          <w:i w:val="false"/>
          <w:iCs w:val="false"/>
          <w:sz w:val="22"/>
          <w:szCs w:val="22"/>
          <w:rtl/>
        </w:rPr>
        <w:t xml:space="preserve">تُشكّل هذه الوثيقة الطبقة التنظيمية (الإدارية) التي تُبنى فوق موديول السياسات والإجراءات المُنفَّذ فعلياً في النظام، والذي يوفّر أربع حالات تقنية أساسية لكل سياسة:</w:t>
      </w:r>
    </w:p>
    <w:p>
      <w:pPr>
        <w:bidi w:val="false"/>
        <w:spacing w:after="160"/>
        <w:ind w:start="431"/>
        <w:jc w:val="right"/>
      </w:pPr>
      <w:r>
        <w:rPr>
          <w:rFonts w:ascii="Consolas" w:cs="Consolas" w:eastAsia="Consolas" w:hAnsi="Consolas"/>
          <w:i/>
          <w:iCs/>
          <w:color w:val="555555"/>
          <w:sz w:val="20"/>
          <w:szCs w:val="20"/>
        </w:rPr>
        <w:t xml:space="preserve">(draft, in_review, approved, archived)</w:t>
      </w:r>
    </w:p>
    <w:p>
      <w:pPr>
        <w:bidi/>
        <w:spacing w:after="120"/>
        <w:jc w:val="right"/>
      </w:pPr>
      <w:r>
        <w:rPr>
          <w:rFonts w:ascii="Arial" w:cs="Arial" w:eastAsia="Arial" w:hAnsi="Arial"/>
          <w:b w:val="false"/>
          <w:bCs w:val="false"/>
          <w:i w:val="false"/>
          <w:iCs w:val="false"/>
          <w:sz w:val="22"/>
          <w:szCs w:val="22"/>
          <w:rtl/>
        </w:rPr>
        <w:t xml:space="preserve">وظيفة هذه الوثيقة هي تفصيل الأدوار والمسؤوليات التنظيمية الحقيقية خلف هذه الحالات الأربع، وتزويد فريق التطوير التقني بمواصفات دقيقة لتوسيع النظام بما يخدم هذه الحوكمة.</w:t>
      </w:r>
    </w:p>
    <w:p>
      <w:pPr>
        <w:pStyle w:val="Heading1"/>
        <w:pBdr>
          <w:bottom w:val="single" w:color="2E5395" w:sz="6" w:space="4"/>
        </w:pBdr>
        <w:bidi/>
        <w:spacing w:after="200" w:before="400"/>
        <w:jc w:val="right"/>
      </w:pPr>
      <w:r>
        <w:rPr>
          <w:rFonts w:ascii="Arial" w:cs="Arial" w:eastAsia="Arial" w:hAnsi="Arial"/>
          <w:b/>
          <w:bCs/>
          <w:color w:val="1F3864"/>
          <w:sz w:val="32"/>
          <w:szCs w:val="32"/>
          <w:rtl/>
        </w:rPr>
        <w:t xml:space="preserve">2. دورة حياة السياسة المؤسسية</w:t>
      </w:r>
    </w:p>
    <w:p>
      <w:pPr>
        <w:bidi/>
        <w:spacing w:after="120"/>
        <w:jc w:val="right"/>
      </w:pPr>
      <w:r>
        <w:rPr>
          <w:rFonts w:ascii="Arial" w:cs="Arial" w:eastAsia="Arial" w:hAnsi="Arial"/>
          <w:b w:val="false"/>
          <w:bCs w:val="false"/>
          <w:i w:val="false"/>
          <w:iCs w:val="false"/>
          <w:sz w:val="22"/>
          <w:szCs w:val="22"/>
          <w:rtl/>
        </w:rPr>
        <w:t xml:space="preserve">تمر كل سياسة داخل المؤسسة بثلاث مراحل جوهرية قبل نفاذها، ومرحلة رابعة عند انتهاء العمل بها:</w:t>
      </w:r>
    </w:p>
    <w:p>
      <w:pPr>
        <w:spacing w:after="80"/>
      </w:pPr>
    </w:p>
    <w:tbl>
      <w:tblPr>
        <w:bidiVisual/>
        <w:tblW w:type="dxa" w:w="12274"/>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000"/>
        <w:gridCol w:w="4674"/>
      </w:tblGrid>
      <w:tr>
        <w:trPr>
          <w:tblHeader/>
        </w:trPr>
        <w:tc>
          <w:tcPr>
            <w:tcW w:type="dxa" w:w="2400"/>
            <w:shd w:fill="1F3864" w:val="clear"/>
            <w:tcMar>
              <w:top w:type="dxa" w:w="100"/>
              <w:left w:type="dxa" w:w="100"/>
              <w:bottom w:type="dxa" w:w="100"/>
              <w:right w:type="dxa" w:w="100"/>
            </w:tcMar>
          </w:tcPr>
          <w:p>
            <w:pPr>
              <w:bidi/>
              <w:jc w:val="center"/>
            </w:pPr>
            <w:r>
              <w:rPr>
                <w:rFonts w:ascii="Arial" w:cs="Arial" w:eastAsia="Arial" w:hAnsi="Arial"/>
                <w:b/>
                <w:bCs/>
                <w:color w:val="FFFFFF"/>
                <w:sz w:val="20"/>
                <w:szCs w:val="20"/>
                <w:rtl/>
              </w:rPr>
              <w:t xml:space="preserve">المرحلة التنظيمية</w:t>
            </w:r>
          </w:p>
        </w:tc>
        <w:tc>
          <w:tcPr>
            <w:tcW w:type="dxa" w:w="3200"/>
            <w:shd w:fill="1F3864" w:val="clear"/>
            <w:tcMar>
              <w:top w:type="dxa" w:w="100"/>
              <w:left w:type="dxa" w:w="100"/>
              <w:bottom w:type="dxa" w:w="100"/>
              <w:right w:type="dxa" w:w="100"/>
            </w:tcMar>
          </w:tcPr>
          <w:p>
            <w:pPr>
              <w:bidi/>
              <w:jc w:val="center"/>
            </w:pPr>
            <w:r>
              <w:rPr>
                <w:rFonts w:ascii="Arial" w:cs="Arial" w:eastAsia="Arial" w:hAnsi="Arial"/>
                <w:b/>
                <w:bCs/>
                <w:color w:val="FFFFFF"/>
                <w:sz w:val="20"/>
                <w:szCs w:val="20"/>
                <w:rtl/>
              </w:rPr>
              <w:t xml:space="preserve">الجهة المسؤولة</w:t>
            </w:r>
          </w:p>
        </w:tc>
        <w:tc>
          <w:tcPr>
            <w:tcW w:type="dxa" w:w="2000"/>
            <w:shd w:fill="1F3864" w:val="clear"/>
            <w:tcMar>
              <w:top w:type="dxa" w:w="100"/>
              <w:left w:type="dxa" w:w="100"/>
              <w:bottom w:type="dxa" w:w="100"/>
              <w:right w:type="dxa" w:w="100"/>
            </w:tcMar>
          </w:tcPr>
          <w:p>
            <w:pPr>
              <w:bidi/>
              <w:jc w:val="center"/>
            </w:pPr>
            <w:r>
              <w:rPr>
                <w:rFonts w:ascii="Arial" w:cs="Arial" w:eastAsia="Arial" w:hAnsi="Arial"/>
                <w:b/>
                <w:bCs/>
                <w:color w:val="FFFFFF"/>
                <w:sz w:val="20"/>
                <w:szCs w:val="20"/>
                <w:rtl/>
              </w:rPr>
              <w:t xml:space="preserve">الحالة التقنية المقابلة</w:t>
            </w:r>
          </w:p>
        </w:tc>
        <w:tc>
          <w:tcPr>
            <w:tcW w:type="dxa" w:w="4674"/>
            <w:shd w:fill="1F3864" w:val="clear"/>
            <w:tcMar>
              <w:top w:type="dxa" w:w="100"/>
              <w:left w:type="dxa" w:w="100"/>
              <w:bottom w:type="dxa" w:w="100"/>
              <w:right w:type="dxa" w:w="100"/>
            </w:tcMar>
          </w:tcPr>
          <w:p>
            <w:pPr>
              <w:bidi/>
              <w:jc w:val="center"/>
            </w:pPr>
            <w:r>
              <w:rPr>
                <w:rFonts w:ascii="Arial" w:cs="Arial" w:eastAsia="Arial" w:hAnsi="Arial"/>
                <w:b/>
                <w:bCs/>
                <w:color w:val="FFFFFF"/>
                <w:sz w:val="20"/>
                <w:szCs w:val="20"/>
                <w:rtl/>
              </w:rPr>
              <w:t xml:space="preserve">الإجراء المطلوب لإتمام المرحلة</w:t>
            </w:r>
          </w:p>
        </w:tc>
      </w:tr>
      <w:tr>
        <w:tc>
          <w:tcPr>
            <w:tcW w:type="dxa" w:w="2400"/>
            <w:tcMar>
              <w:top w:type="dxa" w:w="80"/>
              <w:left w:type="dxa" w:w="100"/>
              <w:bottom w:type="dxa" w:w="80"/>
              <w:right w:type="dxa" w:w="100"/>
            </w:tcMar>
          </w:tcPr>
          <w:p>
            <w:pPr>
              <w:bidi/>
              <w:jc w:val="right"/>
            </w:pPr>
            <w:r>
              <w:rPr>
                <w:rFonts w:ascii="Arial" w:cs="Arial" w:eastAsia="Arial" w:hAnsi="Arial"/>
                <w:sz w:val="19"/>
                <w:szCs w:val="19"/>
                <w:rtl/>
              </w:rPr>
              <w:t xml:space="preserve">الإعداد</w:t>
            </w:r>
          </w:p>
        </w:tc>
        <w:tc>
          <w:tcPr>
            <w:tcW w:type="dxa" w:w="3200"/>
            <w:tcMar>
              <w:top w:type="dxa" w:w="80"/>
              <w:left w:type="dxa" w:w="100"/>
              <w:bottom w:type="dxa" w:w="80"/>
              <w:right w:type="dxa" w:w="100"/>
            </w:tcMar>
          </w:tcPr>
          <w:p>
            <w:pPr>
              <w:bidi/>
              <w:jc w:val="right"/>
            </w:pPr>
            <w:r>
              <w:rPr>
                <w:rFonts w:ascii="Arial" w:cs="Arial" w:eastAsia="Arial" w:hAnsi="Arial"/>
                <w:sz w:val="19"/>
                <w:szCs w:val="19"/>
                <w:rtl/>
              </w:rPr>
              <w:t xml:space="preserve">مُعِد السياسة (مالك العملية أو مدير القسم المعني)</w:t>
            </w:r>
          </w:p>
        </w:tc>
        <w:tc>
          <w:tcPr>
            <w:tcW w:type="dxa" w:w="2000"/>
            <w:tcMar>
              <w:top w:type="dxa" w:w="80"/>
              <w:left w:type="dxa" w:w="100"/>
              <w:bottom w:type="dxa" w:w="80"/>
              <w:right w:type="dxa" w:w="100"/>
            </w:tcMar>
          </w:tcPr>
          <w:p>
            <w:pPr>
              <w:bidi/>
              <w:jc w:val="right"/>
            </w:pPr>
            <w:r>
              <w:rPr>
                <w:rFonts w:ascii="Arial" w:cs="Arial" w:eastAsia="Arial" w:hAnsi="Arial"/>
                <w:sz w:val="19"/>
                <w:szCs w:val="19"/>
                <w:rtl/>
              </w:rPr>
              <w:t xml:space="preserve">draft</w:t>
            </w:r>
          </w:p>
        </w:tc>
        <w:tc>
          <w:tcPr>
            <w:tcW w:type="dxa" w:w="4674"/>
            <w:tcMar>
              <w:top w:type="dxa" w:w="80"/>
              <w:left w:type="dxa" w:w="100"/>
              <w:bottom w:type="dxa" w:w="80"/>
              <w:right w:type="dxa" w:w="100"/>
            </w:tcMar>
          </w:tcPr>
          <w:p>
            <w:pPr>
              <w:bidi/>
              <w:jc w:val="right"/>
            </w:pPr>
            <w:r>
              <w:rPr>
                <w:rFonts w:ascii="Arial" w:cs="Arial" w:eastAsia="Arial" w:hAnsi="Arial"/>
                <w:sz w:val="19"/>
                <w:szCs w:val="19"/>
                <w:rtl/>
              </w:rPr>
              <w:t xml:space="preserve">صياغة نص السياسة الكامل وربطها بالقسم/الموديول المعني</w:t>
            </w:r>
          </w:p>
        </w:tc>
      </w:tr>
      <w:tr>
        <w:tc>
          <w:tcPr>
            <w:tcW w:type="dxa" w:w="2400"/>
            <w:tcMar>
              <w:top w:type="dxa" w:w="80"/>
              <w:left w:type="dxa" w:w="100"/>
              <w:bottom w:type="dxa" w:w="80"/>
              <w:right w:type="dxa" w:w="100"/>
            </w:tcMar>
          </w:tcPr>
          <w:p>
            <w:pPr>
              <w:bidi/>
              <w:jc w:val="right"/>
            </w:pPr>
            <w:r>
              <w:rPr>
                <w:rFonts w:ascii="Arial" w:cs="Arial" w:eastAsia="Arial" w:hAnsi="Arial"/>
                <w:sz w:val="19"/>
                <w:szCs w:val="19"/>
                <w:rtl/>
              </w:rPr>
              <w:t xml:space="preserve">المراجعة والتوحيد</w:t>
            </w:r>
          </w:p>
        </w:tc>
        <w:tc>
          <w:tcPr>
            <w:tcW w:type="dxa" w:w="3200"/>
            <w:tcMar>
              <w:top w:type="dxa" w:w="80"/>
              <w:left w:type="dxa" w:w="100"/>
              <w:bottom w:type="dxa" w:w="80"/>
              <w:right w:type="dxa" w:w="100"/>
            </w:tcMar>
          </w:tcPr>
          <w:p>
            <w:pPr>
              <w:bidi/>
              <w:jc w:val="right"/>
            </w:pPr>
            <w:r>
              <w:rPr>
                <w:rFonts w:ascii="Arial" w:cs="Arial" w:eastAsia="Arial" w:hAnsi="Arial"/>
                <w:sz w:val="19"/>
                <w:szCs w:val="19"/>
                <w:rtl/>
              </w:rPr>
              <w:t xml:space="preserve">لجنة الامتثال والجودة</w:t>
            </w:r>
          </w:p>
        </w:tc>
        <w:tc>
          <w:tcPr>
            <w:tcW w:type="dxa" w:w="2000"/>
            <w:tcMar>
              <w:top w:type="dxa" w:w="80"/>
              <w:left w:type="dxa" w:w="100"/>
              <w:bottom w:type="dxa" w:w="80"/>
              <w:right w:type="dxa" w:w="100"/>
            </w:tcMar>
          </w:tcPr>
          <w:p>
            <w:pPr>
              <w:bidi/>
              <w:jc w:val="right"/>
            </w:pPr>
            <w:r>
              <w:rPr>
                <w:rFonts w:ascii="Arial" w:cs="Arial" w:eastAsia="Arial" w:hAnsi="Arial"/>
                <w:sz w:val="19"/>
                <w:szCs w:val="19"/>
                <w:rtl/>
              </w:rPr>
              <w:t xml:space="preserve">in_review</w:t>
            </w:r>
          </w:p>
        </w:tc>
        <w:tc>
          <w:tcPr>
            <w:tcW w:type="dxa" w:w="4674"/>
            <w:tcMar>
              <w:top w:type="dxa" w:w="80"/>
              <w:left w:type="dxa" w:w="100"/>
              <w:bottom w:type="dxa" w:w="80"/>
              <w:right w:type="dxa" w:w="100"/>
            </w:tcMar>
          </w:tcPr>
          <w:p>
            <w:pPr>
              <w:bidi/>
              <w:jc w:val="right"/>
            </w:pPr>
            <w:r>
              <w:rPr>
                <w:rFonts w:ascii="Arial" w:cs="Arial" w:eastAsia="Arial" w:hAnsi="Arial"/>
                <w:sz w:val="19"/>
                <w:szCs w:val="19"/>
                <w:rtl/>
              </w:rPr>
              <w:t xml:space="preserve">مراجعة الصياغة، التأكد من التوافق مع بقية السياسات، وإعادتها للإعداد عند الحاجة</w:t>
            </w:r>
          </w:p>
        </w:tc>
      </w:tr>
      <w:tr>
        <w:tc>
          <w:tcPr>
            <w:tcW w:type="dxa" w:w="2400"/>
            <w:tcMar>
              <w:top w:type="dxa" w:w="80"/>
              <w:left w:type="dxa" w:w="100"/>
              <w:bottom w:type="dxa" w:w="80"/>
              <w:right w:type="dxa" w:w="100"/>
            </w:tcMar>
          </w:tcPr>
          <w:p>
            <w:pPr>
              <w:bidi/>
              <w:jc w:val="right"/>
            </w:pPr>
            <w:r>
              <w:rPr>
                <w:rFonts w:ascii="Arial" w:cs="Arial" w:eastAsia="Arial" w:hAnsi="Arial"/>
                <w:sz w:val="19"/>
                <w:szCs w:val="19"/>
                <w:rtl/>
              </w:rPr>
              <w:t xml:space="preserve">الاعتماد الرسمي والتوقيع</w:t>
            </w:r>
          </w:p>
        </w:tc>
        <w:tc>
          <w:tcPr>
            <w:tcW w:type="dxa" w:w="3200"/>
            <w:tcMar>
              <w:top w:type="dxa" w:w="80"/>
              <w:left w:type="dxa" w:w="100"/>
              <w:bottom w:type="dxa" w:w="80"/>
              <w:right w:type="dxa" w:w="100"/>
            </w:tcMar>
          </w:tcPr>
          <w:p>
            <w:pPr>
              <w:bidi/>
              <w:jc w:val="right"/>
            </w:pPr>
            <w:r>
              <w:rPr>
                <w:rFonts w:ascii="Arial" w:cs="Arial" w:eastAsia="Arial" w:hAnsi="Arial"/>
                <w:sz w:val="19"/>
                <w:szCs w:val="19"/>
                <w:rtl/>
              </w:rPr>
              <w:t xml:space="preserve">الرئيس التنفيذي أو المدير المخوّل رسمياً</w:t>
            </w:r>
          </w:p>
        </w:tc>
        <w:tc>
          <w:tcPr>
            <w:tcW w:type="dxa" w:w="2000"/>
            <w:tcMar>
              <w:top w:type="dxa" w:w="80"/>
              <w:left w:type="dxa" w:w="100"/>
              <w:bottom w:type="dxa" w:w="80"/>
              <w:right w:type="dxa" w:w="100"/>
            </w:tcMar>
          </w:tcPr>
          <w:p>
            <w:pPr>
              <w:bidi/>
              <w:jc w:val="right"/>
            </w:pPr>
            <w:r>
              <w:rPr>
                <w:rFonts w:ascii="Arial" w:cs="Arial" w:eastAsia="Arial" w:hAnsi="Arial"/>
                <w:sz w:val="19"/>
                <w:szCs w:val="19"/>
                <w:rtl/>
              </w:rPr>
              <w:t xml:space="preserve">approved</w:t>
            </w:r>
          </w:p>
        </w:tc>
        <w:tc>
          <w:tcPr>
            <w:tcW w:type="dxa" w:w="4674"/>
            <w:tcMar>
              <w:top w:type="dxa" w:w="80"/>
              <w:left w:type="dxa" w:w="100"/>
              <w:bottom w:type="dxa" w:w="80"/>
              <w:right w:type="dxa" w:w="100"/>
            </w:tcMar>
          </w:tcPr>
          <w:p>
            <w:pPr>
              <w:bidi/>
              <w:jc w:val="right"/>
            </w:pPr>
            <w:r>
              <w:rPr>
                <w:rFonts w:ascii="Arial" w:cs="Arial" w:eastAsia="Arial" w:hAnsi="Arial"/>
                <w:sz w:val="19"/>
                <w:szCs w:val="19"/>
                <w:rtl/>
              </w:rPr>
              <w:t xml:space="preserve">اعتماد نهائي؛ من هذه اللحظة تصبح السياسة نافذة وقابلة للربط بالأدوار وواجبة الإقرار</w:t>
            </w:r>
          </w:p>
        </w:tc>
      </w:tr>
      <w:tr>
        <w:tc>
          <w:tcPr>
            <w:tcW w:type="dxa" w:w="2400"/>
            <w:tcMar>
              <w:top w:type="dxa" w:w="80"/>
              <w:left w:type="dxa" w:w="100"/>
              <w:bottom w:type="dxa" w:w="80"/>
              <w:right w:type="dxa" w:w="100"/>
            </w:tcMar>
          </w:tcPr>
          <w:p>
            <w:pPr>
              <w:bidi/>
              <w:jc w:val="right"/>
            </w:pPr>
            <w:r>
              <w:rPr>
                <w:rFonts w:ascii="Arial" w:cs="Arial" w:eastAsia="Arial" w:hAnsi="Arial"/>
                <w:sz w:val="19"/>
                <w:szCs w:val="19"/>
                <w:rtl/>
              </w:rPr>
              <w:t xml:space="preserve">الأرشفة</w:t>
            </w:r>
          </w:p>
        </w:tc>
        <w:tc>
          <w:tcPr>
            <w:tcW w:type="dxa" w:w="3200"/>
            <w:tcMar>
              <w:top w:type="dxa" w:w="80"/>
              <w:left w:type="dxa" w:w="100"/>
              <w:bottom w:type="dxa" w:w="80"/>
              <w:right w:type="dxa" w:w="100"/>
            </w:tcMar>
          </w:tcPr>
          <w:p>
            <w:pPr>
              <w:bidi/>
              <w:jc w:val="right"/>
            </w:pPr>
            <w:r>
              <w:rPr>
                <w:rFonts w:ascii="Arial" w:cs="Arial" w:eastAsia="Arial" w:hAnsi="Arial"/>
                <w:sz w:val="19"/>
                <w:szCs w:val="19"/>
                <w:rtl/>
              </w:rPr>
              <w:t xml:space="preserve">تلقائي عند استبدال السياسة أو انتهاء العمل بها</w:t>
            </w:r>
          </w:p>
        </w:tc>
        <w:tc>
          <w:tcPr>
            <w:tcW w:type="dxa" w:w="2000"/>
            <w:tcMar>
              <w:top w:type="dxa" w:w="80"/>
              <w:left w:type="dxa" w:w="100"/>
              <w:bottom w:type="dxa" w:w="80"/>
              <w:right w:type="dxa" w:w="100"/>
            </w:tcMar>
          </w:tcPr>
          <w:p>
            <w:pPr>
              <w:bidi/>
              <w:jc w:val="right"/>
            </w:pPr>
            <w:r>
              <w:rPr>
                <w:rFonts w:ascii="Arial" w:cs="Arial" w:eastAsia="Arial" w:hAnsi="Arial"/>
                <w:sz w:val="19"/>
                <w:szCs w:val="19"/>
                <w:rtl/>
              </w:rPr>
              <w:t xml:space="preserve">archived</w:t>
            </w:r>
          </w:p>
        </w:tc>
        <w:tc>
          <w:tcPr>
            <w:tcW w:type="dxa" w:w="4674"/>
            <w:tcMar>
              <w:top w:type="dxa" w:w="80"/>
              <w:left w:type="dxa" w:w="100"/>
              <w:bottom w:type="dxa" w:w="80"/>
              <w:right w:type="dxa" w:w="100"/>
            </w:tcMar>
          </w:tcPr>
          <w:p>
            <w:pPr>
              <w:bidi/>
              <w:jc w:val="right"/>
            </w:pPr>
            <w:r>
              <w:rPr>
                <w:rFonts w:ascii="Arial" w:cs="Arial" w:eastAsia="Arial" w:hAnsi="Arial"/>
                <w:sz w:val="19"/>
                <w:szCs w:val="19"/>
                <w:rtl/>
              </w:rPr>
              <w:t xml:space="preserve">لا إجراء يدوي إضافي؛ السياسة تبقى للرجوع التاريخي دون إلزام جديد</w:t>
            </w:r>
          </w:p>
        </w:tc>
      </w:tr>
    </w:tbl>
    <w:p>
      <w:pPr>
        <w:spacing w:after="150"/>
      </w:pPr>
    </w:p>
    <w:p>
      <w:pPr>
        <w:pStyle w:val="Heading2"/>
        <w:bidi/>
        <w:spacing w:after="140" w:before="280"/>
        <w:jc w:val="right"/>
      </w:pPr>
      <w:r>
        <w:rPr>
          <w:rFonts w:ascii="Arial" w:cs="Arial" w:eastAsia="Arial" w:hAnsi="Arial"/>
          <w:b/>
          <w:bCs/>
          <w:color w:val="2E5395"/>
          <w:sz w:val="26"/>
          <w:szCs w:val="26"/>
          <w:rtl/>
        </w:rPr>
        <w:t xml:space="preserve">حالة خاصة: إعادة السياسة من المراجعة إلى الإعداد</w:t>
      </w:r>
    </w:p>
    <w:p>
      <w:pPr>
        <w:bidi/>
        <w:spacing w:after="120"/>
        <w:jc w:val="right"/>
      </w:pPr>
      <w:r>
        <w:rPr>
          <w:rFonts w:ascii="Arial" w:cs="Arial" w:eastAsia="Arial" w:hAnsi="Arial"/>
          <w:b w:val="false"/>
          <w:bCs w:val="false"/>
          <w:i w:val="false"/>
          <w:iCs w:val="false"/>
          <w:sz w:val="22"/>
          <w:szCs w:val="22"/>
          <w:rtl/>
        </w:rPr>
        <w:t xml:space="preserve">يجوز للجنة الامتثال والجودة أثناء مرحلة المراجعة إعادة السياسة إلى مُعِدّها لإجراء تعديلات، دون الحاجة لبدء دورة جديدة من الصفر. هذا الانتقال مدعوم فعلياً في النظام:</w:t>
      </w:r>
    </w:p>
    <w:p>
      <w:pPr>
        <w:bidi w:val="false"/>
        <w:spacing w:after="160"/>
        <w:ind w:start="431"/>
        <w:jc w:val="right"/>
      </w:pPr>
      <w:r>
        <w:rPr>
          <w:rFonts w:ascii="Consolas" w:cs="Consolas" w:eastAsia="Consolas" w:hAnsi="Consolas"/>
          <w:i/>
          <w:iCs/>
          <w:color w:val="555555"/>
          <w:sz w:val="20"/>
          <w:szCs w:val="20"/>
        </w:rPr>
        <w:t xml:space="preserve">(in_review → draft)</w:t>
      </w:r>
    </w:p>
    <w:p>
      <w:pPr>
        <w:pStyle w:val="Heading2"/>
        <w:bidi/>
        <w:spacing w:after="140" w:before="280"/>
        <w:jc w:val="right"/>
      </w:pPr>
      <w:r>
        <w:rPr>
          <w:rFonts w:ascii="Arial" w:cs="Arial" w:eastAsia="Arial" w:hAnsi="Arial"/>
          <w:b/>
          <w:bCs/>
          <w:color w:val="2E5395"/>
          <w:sz w:val="26"/>
          <w:szCs w:val="26"/>
          <w:rtl/>
        </w:rPr>
        <w:t xml:space="preserve">فجوة تنظيمية يجب معالجتها</w:t>
      </w:r>
    </w:p>
    <w:p>
      <w:pPr>
        <w:bidi/>
        <w:spacing w:after="120"/>
        <w:jc w:val="right"/>
      </w:pPr>
      <w:r>
        <w:rPr>
          <w:rFonts w:ascii="Arial" w:cs="Arial" w:eastAsia="Arial" w:hAnsi="Arial"/>
          <w:b w:val="false"/>
          <w:bCs w:val="false"/>
          <w:i w:val="false"/>
          <w:iCs w:val="false"/>
          <w:sz w:val="22"/>
          <w:szCs w:val="22"/>
          <w:rtl/>
        </w:rPr>
        <w:t xml:space="preserve">نظام الأدوار الحالي يعرّف ثلاثة أدوار تقنية فقط على مستوى المستخدم:</w:t>
      </w:r>
    </w:p>
    <w:p>
      <w:pPr>
        <w:bidi w:val="false"/>
        <w:spacing w:after="160"/>
        <w:ind w:start="431"/>
        <w:jc w:val="right"/>
      </w:pPr>
      <w:r>
        <w:rPr>
          <w:rFonts w:ascii="Consolas" w:cs="Consolas" w:eastAsia="Consolas" w:hAnsi="Consolas"/>
          <w:i/>
          <w:iCs/>
          <w:color w:val="555555"/>
          <w:sz w:val="20"/>
          <w:szCs w:val="20"/>
        </w:rPr>
        <w:t xml:space="preserve">(admin, manager, employee)</w:t>
      </w:r>
    </w:p>
    <w:p>
      <w:pPr>
        <w:bidi/>
        <w:spacing w:after="120"/>
        <w:jc w:val="right"/>
      </w:pPr>
      <w:r>
        <w:rPr>
          <w:rFonts w:ascii="Arial" w:cs="Arial" w:eastAsia="Arial" w:hAnsi="Arial"/>
          <w:b w:val="false"/>
          <w:bCs w:val="false"/>
          <w:i w:val="false"/>
          <w:iCs w:val="false"/>
          <w:sz w:val="22"/>
          <w:szCs w:val="22"/>
          <w:rtl/>
        </w:rPr>
        <w:t xml:space="preserve">ولا يوجد دور مستقل باسم "لجنة الامتثال والجودة" أو صلاحية "اعتماد تنفيذي" منفصلة عن هذه الأدوار الثلاثة. عملياً، أي حساب بصلاحية إدارية عليا أو صلاحية إشرافية يستطيع اليوم تنفيذ الانتقال بين الحالات تقنياً، بصرف النظر عن كونه فعلاً عضواً في لجنة الامتثال أو صاحب صلاحية اعتماد تنفيذي.</w:t>
      </w:r>
    </w:p>
    <w:p>
      <w:pPr>
        <w:bidi/>
        <w:spacing w:after="100"/>
        <w:ind w:start="360"/>
        <w:jc w:val="right"/>
      </w:pPr>
      <w:r>
        <w:rPr>
          <w:rFonts w:ascii="Arial" w:cs="Arial" w:eastAsia="Arial" w:hAnsi="Arial"/>
          <w:b w:val="false"/>
          <w:bCs w:val="false"/>
          <w:sz w:val="22"/>
          <w:szCs w:val="22"/>
          <w:rtl/>
        </w:rPr>
        <w:t xml:space="preserve">التوصية الإدارية الفورية: تُعتمد لجنة الامتثال والجودة رسمياً كتشكيل إداري محدد الأسماء (قرار تعيين داخلي)، وتُقيَّد صلاحية نقل أي سياسة إلى حالة المراجعة والاعتماد إجرائياً بأعضاء هذا التشكيل فقط، إلى حين إضافة قيد تقني فعلي.  -</w:t>
      </w:r>
    </w:p>
    <w:p>
      <w:pPr>
        <w:bidi/>
        <w:spacing w:after="100"/>
        <w:ind w:start="360"/>
        <w:jc w:val="right"/>
      </w:pPr>
      <w:r>
        <w:rPr>
          <w:rFonts w:ascii="Arial" w:cs="Arial" w:eastAsia="Arial" w:hAnsi="Arial"/>
          <w:b w:val="false"/>
          <w:bCs w:val="false"/>
          <w:sz w:val="22"/>
          <w:szCs w:val="22"/>
          <w:rtl/>
        </w:rPr>
        <w:t xml:space="preserve">التوصية التقنية للمرحلة الثالثة: إضافة تمييز صريح (سواء عبر حقل جديد على المستخدم أو قائمة أسماء معتمدة على مستوى الشركة) يقيّد من يستطيع تقنياً تنفيذ الانتقال إلى حالتي المراجعة والاعتماد بمن هو مُعتمد فعلياً كعضو لجنة امتثال أو جهة اعتماد تنفيذي.  -</w:t>
      </w:r>
    </w:p>
    <w:p>
      <w:pPr>
        <w:pStyle w:val="Heading1"/>
        <w:pBdr>
          <w:bottom w:val="single" w:color="2E5395" w:sz="6" w:space="4"/>
        </w:pBdr>
        <w:bidi/>
        <w:spacing w:after="200" w:before="400"/>
        <w:jc w:val="right"/>
      </w:pPr>
      <w:r>
        <w:rPr>
          <w:rFonts w:ascii="Arial" w:cs="Arial" w:eastAsia="Arial" w:hAnsi="Arial"/>
          <w:b/>
          <w:bCs/>
          <w:color w:val="1F3864"/>
          <w:sz w:val="32"/>
          <w:szCs w:val="32"/>
          <w:rtl/>
        </w:rPr>
        <w:t xml:space="preserve">3. سياسات الاستخدام والحوكمة بحسب القسم</w:t>
      </w:r>
    </w:p>
    <w:p>
      <w:pPr>
        <w:bidi/>
        <w:spacing w:after="120"/>
        <w:jc w:val="right"/>
      </w:pPr>
      <w:r>
        <w:rPr>
          <w:rFonts w:ascii="Arial" w:cs="Arial" w:eastAsia="Arial" w:hAnsi="Arial"/>
          <w:b w:val="false"/>
          <w:bCs w:val="false"/>
          <w:i w:val="false"/>
          <w:iCs w:val="false"/>
          <w:sz w:val="22"/>
          <w:szCs w:val="22"/>
          <w:rtl/>
        </w:rPr>
        <w:t xml:space="preserve">السياسات التالية تُصاغ كنصوص إدارية رسمية جاهزة لإدخالها مباشرة في موديول السياسات (حقل المحتوى)، وتُربط كل سياسة بتصنيف الموديول التقني المقابل لها.</w:t>
      </w:r>
    </w:p>
    <w:p>
      <w:pPr>
        <w:pStyle w:val="Heading2"/>
        <w:bidi/>
        <w:spacing w:after="140" w:before="280"/>
        <w:jc w:val="right"/>
      </w:pPr>
      <w:r>
        <w:rPr>
          <w:rFonts w:ascii="Arial" w:cs="Arial" w:eastAsia="Arial" w:hAnsi="Arial"/>
          <w:b/>
          <w:bCs/>
          <w:color w:val="2E5395"/>
          <w:sz w:val="26"/>
          <w:szCs w:val="26"/>
          <w:rtl/>
        </w:rPr>
        <w:t xml:space="preserve">٣.١ سياسة استخدام نظام نقاط البيع</w:t>
      </w:r>
    </w:p>
    <w:p>
      <w:pPr>
        <w:bidi/>
        <w:spacing w:after="120"/>
        <w:jc w:val="right"/>
      </w:pPr>
      <w:r>
        <w:rPr>
          <w:rFonts w:ascii="Arial" w:cs="Arial" w:eastAsia="Arial" w:hAnsi="Arial"/>
          <w:b w:val="false"/>
          <w:bCs w:val="false"/>
          <w:i w:val="false"/>
          <w:iCs w:val="false"/>
          <w:sz w:val="22"/>
          <w:szCs w:val="22"/>
          <w:rtl/>
        </w:rPr>
        <w:t xml:space="preserve">تصنيف الربط التقني:</w:t>
      </w:r>
    </w:p>
    <w:p>
      <w:pPr>
        <w:bidi w:val="false"/>
        <w:spacing w:after="160"/>
        <w:ind w:start="431"/>
        <w:jc w:val="right"/>
      </w:pPr>
      <w:r>
        <w:rPr>
          <w:rFonts w:ascii="Consolas" w:cs="Consolas" w:eastAsia="Consolas" w:hAnsi="Consolas"/>
          <w:i/>
          <w:iCs/>
          <w:color w:val="555555"/>
          <w:sz w:val="20"/>
          <w:szCs w:val="20"/>
        </w:rPr>
        <w:t xml:space="preserve">(pos_shifts)</w:t>
      </w:r>
    </w:p>
    <w:p>
      <w:pPr>
        <w:bidi/>
        <w:spacing w:after="100" w:before="200"/>
        <w:jc w:val="right"/>
      </w:pPr>
      <w:r>
        <w:rPr>
          <w:rFonts w:ascii="Arial" w:cs="Arial" w:eastAsia="Arial" w:hAnsi="Arial"/>
          <w:b/>
          <w:bCs/>
          <w:sz w:val="23"/>
          <w:szCs w:val="23"/>
          <w:rtl/>
        </w:rPr>
        <w:t xml:space="preserve">الهدف</w:t>
      </w:r>
    </w:p>
    <w:p>
      <w:pPr>
        <w:bidi/>
        <w:spacing w:after="120"/>
        <w:jc w:val="right"/>
      </w:pPr>
      <w:r>
        <w:rPr>
          <w:rFonts w:ascii="Arial" w:cs="Arial" w:eastAsia="Arial" w:hAnsi="Arial"/>
          <w:b w:val="false"/>
          <w:bCs w:val="false"/>
          <w:i w:val="false"/>
          <w:iCs w:val="false"/>
          <w:sz w:val="22"/>
          <w:szCs w:val="22"/>
          <w:rtl/>
        </w:rPr>
        <w:t xml:space="preserve">ضمان دقة وسلامة عمليات البيع والتحصيل النقدي داخل نقاط البيع، ومنع التلاعب أو إساءة استخدام الصلاحيات التشغيلية.</w:t>
      </w:r>
    </w:p>
    <w:p>
      <w:pPr>
        <w:bidi/>
        <w:spacing w:after="100" w:before="200"/>
        <w:jc w:val="right"/>
      </w:pPr>
      <w:r>
        <w:rPr>
          <w:rFonts w:ascii="Arial" w:cs="Arial" w:eastAsia="Arial" w:hAnsi="Arial"/>
          <w:b/>
          <w:bCs/>
          <w:sz w:val="23"/>
          <w:szCs w:val="23"/>
          <w:rtl/>
        </w:rPr>
        <w:t xml:space="preserve">النطاق</w:t>
      </w:r>
    </w:p>
    <w:p>
      <w:pPr>
        <w:bidi/>
        <w:spacing w:after="120"/>
        <w:jc w:val="right"/>
      </w:pPr>
      <w:r>
        <w:rPr>
          <w:rFonts w:ascii="Arial" w:cs="Arial" w:eastAsia="Arial" w:hAnsi="Arial"/>
          <w:b w:val="false"/>
          <w:bCs w:val="false"/>
          <w:i w:val="false"/>
          <w:iCs w:val="false"/>
          <w:sz w:val="22"/>
          <w:szCs w:val="22"/>
          <w:rtl/>
        </w:rPr>
        <w:t xml:space="preserve">تُطبَّق على جميع الموظفين المخوّلين بتشغيل نقاط البيع والمشرفين المباشرين عليهم.</w:t>
      </w:r>
    </w:p>
    <w:p>
      <w:pPr>
        <w:bidi/>
        <w:spacing w:after="100" w:before="200"/>
        <w:jc w:val="right"/>
      </w:pPr>
      <w:r>
        <w:rPr>
          <w:rFonts w:ascii="Arial" w:cs="Arial" w:eastAsia="Arial" w:hAnsi="Arial"/>
          <w:b/>
          <w:bCs/>
          <w:sz w:val="23"/>
          <w:szCs w:val="23"/>
          <w:rtl/>
        </w:rPr>
        <w:t xml:space="preserve">القواعد الأساسية</w:t>
      </w:r>
    </w:p>
    <w:p>
      <w:pPr>
        <w:bidi/>
        <w:spacing w:after="100"/>
        <w:ind w:start="360"/>
        <w:jc w:val="right"/>
      </w:pPr>
      <w:r>
        <w:rPr>
          <w:rFonts w:ascii="Arial" w:cs="Arial" w:eastAsia="Arial" w:hAnsi="Arial"/>
          <w:b w:val="false"/>
          <w:bCs w:val="false"/>
          <w:sz w:val="22"/>
          <w:szCs w:val="22"/>
          <w:rtl/>
        </w:rPr>
        <w:t xml:space="preserve">لا يجوز فتح أو إغلاق وردية إلا بحساب المستخدم الشخصي الخاص بالموظف؛ يُمنع منعاً باتاً مشاركة بيانات الدخول  -</w:t>
      </w:r>
    </w:p>
    <w:p>
      <w:pPr>
        <w:bidi/>
        <w:spacing w:after="100"/>
        <w:ind w:start="360"/>
        <w:jc w:val="right"/>
      </w:pPr>
      <w:r>
        <w:rPr>
          <w:rFonts w:ascii="Arial" w:cs="Arial" w:eastAsia="Arial" w:hAnsi="Arial"/>
          <w:b w:val="false"/>
          <w:bCs w:val="false"/>
          <w:sz w:val="22"/>
          <w:szCs w:val="22"/>
          <w:rtl/>
        </w:rPr>
        <w:t xml:space="preserve">أي فرق في التسوية النقدية عند إغلاق الوردية يتجاوز الحد المعتمد من الإدارة يجب توثيقه فوراً وتصعيده للمدير المباشر خلال نفس المناوبة  -</w:t>
      </w:r>
    </w:p>
    <w:p>
      <w:pPr>
        <w:bidi/>
        <w:spacing w:after="100"/>
        <w:ind w:start="360"/>
        <w:jc w:val="right"/>
      </w:pPr>
      <w:r>
        <w:rPr>
          <w:rFonts w:ascii="Arial" w:cs="Arial" w:eastAsia="Arial" w:hAnsi="Arial"/>
          <w:b w:val="false"/>
          <w:bCs w:val="false"/>
          <w:sz w:val="22"/>
          <w:szCs w:val="22"/>
          <w:rtl/>
        </w:rPr>
        <w:t xml:space="preserve">عمليات الإلغاء والاسترجاع بعد إتمام البيع تتطلب تفويضاً مباشراً من صلاحية مدير فأعلى  -</w:t>
      </w:r>
    </w:p>
    <w:p>
      <w:pPr>
        <w:bidi/>
        <w:spacing w:after="100"/>
        <w:ind w:start="360"/>
        <w:jc w:val="right"/>
      </w:pPr>
      <w:r>
        <w:rPr>
          <w:rFonts w:ascii="Arial" w:cs="Arial" w:eastAsia="Arial" w:hAnsi="Arial"/>
          <w:b w:val="false"/>
          <w:bCs w:val="false"/>
          <w:sz w:val="22"/>
          <w:szCs w:val="22"/>
          <w:rtl/>
        </w:rPr>
        <w:t xml:space="preserve">يُمنع استخدام حساب موظف آخر لإتمام أي عملية بيع أو استرجاع تحت أي ظرف  -</w:t>
      </w:r>
    </w:p>
    <w:p>
      <w:pPr>
        <w:bidi/>
        <w:spacing w:after="100"/>
        <w:ind w:start="360"/>
        <w:jc w:val="right"/>
      </w:pPr>
      <w:r>
        <w:rPr>
          <w:rFonts w:ascii="Arial" w:cs="Arial" w:eastAsia="Arial" w:hAnsi="Arial"/>
          <w:b w:val="false"/>
          <w:bCs w:val="false"/>
          <w:sz w:val="22"/>
          <w:szCs w:val="22"/>
          <w:rtl/>
        </w:rPr>
        <w:t xml:space="preserve">يجب إغلاق كل وردية في يوم فتحها؛ أي وردية تبقى مفتوحة لأكثر من أربع وعشرين ساعة تُصعَّد تلقائياً لمراجعة الإدارة  -</w:t>
      </w:r>
    </w:p>
    <w:p>
      <w:pPr>
        <w:bidi/>
        <w:spacing w:after="100" w:before="200"/>
        <w:jc w:val="right"/>
      </w:pPr>
      <w:r>
        <w:rPr>
          <w:rFonts w:ascii="Arial" w:cs="Arial" w:eastAsia="Arial" w:hAnsi="Arial"/>
          <w:b/>
          <w:bCs/>
          <w:sz w:val="23"/>
          <w:szCs w:val="23"/>
          <w:rtl/>
        </w:rPr>
        <w:t xml:space="preserve">المخالفة والإجراء</w:t>
      </w:r>
    </w:p>
    <w:p>
      <w:pPr>
        <w:bidi/>
        <w:spacing w:after="120"/>
        <w:jc w:val="right"/>
      </w:pPr>
      <w:r>
        <w:rPr>
          <w:rFonts w:ascii="Arial" w:cs="Arial" w:eastAsia="Arial" w:hAnsi="Arial"/>
          <w:b w:val="false"/>
          <w:bCs w:val="false"/>
          <w:i w:val="false"/>
          <w:iCs w:val="false"/>
          <w:sz w:val="22"/>
          <w:szCs w:val="22"/>
          <w:rtl/>
        </w:rPr>
        <w:t xml:space="preserve">أي مخالفة لهذه القواعد تُعامل كمخالفة تشغيلية جوهرية، وتخضع لإجراءات المساءلة الداخلية المعتمدة، وقد تستوجب تعليق صلاحية الدخول لنظام نقاط البيع لحين انتهاء التحقيق.</w:t>
      </w:r>
    </w:p>
    <w:p>
      <w:pPr>
        <w:spacing w:after="150"/>
      </w:pPr>
    </w:p>
    <w:p>
      <w:pPr>
        <w:pStyle w:val="Heading2"/>
        <w:bidi/>
        <w:spacing w:after="140" w:before="280"/>
        <w:jc w:val="right"/>
      </w:pPr>
      <w:r>
        <w:rPr>
          <w:rFonts w:ascii="Arial" w:cs="Arial" w:eastAsia="Arial" w:hAnsi="Arial"/>
          <w:b/>
          <w:bCs/>
          <w:color w:val="2E5395"/>
          <w:sz w:val="26"/>
          <w:szCs w:val="26"/>
          <w:rtl/>
        </w:rPr>
        <w:t xml:space="preserve">٣.٢ سياسة إدارة المخزون وسلسلة التوريد</w:t>
      </w:r>
    </w:p>
    <w:p>
      <w:pPr>
        <w:bidi/>
        <w:spacing w:after="120"/>
        <w:jc w:val="right"/>
      </w:pPr>
      <w:r>
        <w:rPr>
          <w:rFonts w:ascii="Arial" w:cs="Arial" w:eastAsia="Arial" w:hAnsi="Arial"/>
          <w:b w:val="false"/>
          <w:bCs w:val="false"/>
          <w:i w:val="false"/>
          <w:iCs w:val="false"/>
          <w:sz w:val="22"/>
          <w:szCs w:val="22"/>
          <w:rtl/>
        </w:rPr>
        <w:t xml:space="preserve">تصنيف الربط التقني:</w:t>
      </w:r>
    </w:p>
    <w:p>
      <w:pPr>
        <w:bidi w:val="false"/>
        <w:spacing w:after="160"/>
        <w:ind w:start="431"/>
        <w:jc w:val="right"/>
      </w:pPr>
      <w:r>
        <w:rPr>
          <w:rFonts w:ascii="Consolas" w:cs="Consolas" w:eastAsia="Consolas" w:hAnsi="Consolas"/>
          <w:i/>
          <w:iCs/>
          <w:color w:val="555555"/>
          <w:sz w:val="20"/>
          <w:szCs w:val="20"/>
        </w:rPr>
        <w:t xml:space="preserve">(inventory_supply_chain)</w:t>
      </w:r>
    </w:p>
    <w:p>
      <w:pPr>
        <w:bidi/>
        <w:spacing w:after="100" w:before="200"/>
        <w:jc w:val="right"/>
      </w:pPr>
      <w:r>
        <w:rPr>
          <w:rFonts w:ascii="Arial" w:cs="Arial" w:eastAsia="Arial" w:hAnsi="Arial"/>
          <w:b/>
          <w:bCs/>
          <w:sz w:val="23"/>
          <w:szCs w:val="23"/>
          <w:rtl/>
        </w:rPr>
        <w:t xml:space="preserve">الهدف</w:t>
      </w:r>
    </w:p>
    <w:p>
      <w:pPr>
        <w:bidi/>
        <w:spacing w:after="120"/>
        <w:jc w:val="right"/>
      </w:pPr>
      <w:r>
        <w:rPr>
          <w:rFonts w:ascii="Arial" w:cs="Arial" w:eastAsia="Arial" w:hAnsi="Arial"/>
          <w:b w:val="false"/>
          <w:bCs w:val="false"/>
          <w:i w:val="false"/>
          <w:iCs w:val="false"/>
          <w:sz w:val="22"/>
          <w:szCs w:val="22"/>
          <w:rtl/>
        </w:rPr>
        <w:t xml:space="preserve">ضبط دقة أرصدة المخزون، وضمان أن كل حركة استلام أو صرف أو تسوية موثّقة ومُتتبَّعة.</w:t>
      </w:r>
    </w:p>
    <w:p>
      <w:pPr>
        <w:bidi/>
        <w:spacing w:after="100" w:before="200"/>
        <w:jc w:val="right"/>
      </w:pPr>
      <w:r>
        <w:rPr>
          <w:rFonts w:ascii="Arial" w:cs="Arial" w:eastAsia="Arial" w:hAnsi="Arial"/>
          <w:b/>
          <w:bCs/>
          <w:sz w:val="23"/>
          <w:szCs w:val="23"/>
          <w:rtl/>
        </w:rPr>
        <w:t xml:space="preserve">النطاق</w:t>
      </w:r>
    </w:p>
    <w:p>
      <w:pPr>
        <w:bidi/>
        <w:spacing w:after="120"/>
        <w:jc w:val="right"/>
      </w:pPr>
      <w:r>
        <w:rPr>
          <w:rFonts w:ascii="Arial" w:cs="Arial" w:eastAsia="Arial" w:hAnsi="Arial"/>
          <w:b w:val="false"/>
          <w:bCs w:val="false"/>
          <w:i w:val="false"/>
          <w:iCs w:val="false"/>
          <w:sz w:val="22"/>
          <w:szCs w:val="22"/>
          <w:rtl/>
        </w:rPr>
        <w:t xml:space="preserve">تُطبَّق على جميع الموظفين المخوّلين بالتعامل مع المخزون والمشتريات، ومسؤولي المستودعات، والمشرفين عليهم.</w:t>
      </w:r>
    </w:p>
    <w:p>
      <w:pPr>
        <w:bidi/>
        <w:spacing w:after="100" w:before="200"/>
        <w:jc w:val="right"/>
      </w:pPr>
      <w:r>
        <w:rPr>
          <w:rFonts w:ascii="Arial" w:cs="Arial" w:eastAsia="Arial" w:hAnsi="Arial"/>
          <w:b/>
          <w:bCs/>
          <w:sz w:val="23"/>
          <w:szCs w:val="23"/>
          <w:rtl/>
        </w:rPr>
        <w:t xml:space="preserve">القواعد الأساسية</w:t>
      </w:r>
    </w:p>
    <w:p>
      <w:pPr>
        <w:bidi/>
        <w:spacing w:after="100"/>
        <w:ind w:start="360"/>
        <w:jc w:val="right"/>
      </w:pPr>
      <w:r>
        <w:rPr>
          <w:rFonts w:ascii="Arial" w:cs="Arial" w:eastAsia="Arial" w:hAnsi="Arial"/>
          <w:b w:val="false"/>
          <w:bCs w:val="false"/>
          <w:sz w:val="22"/>
          <w:szCs w:val="22"/>
          <w:rtl/>
        </w:rPr>
        <w:t xml:space="preserve">أي استلام بضاعة يجب مطابقته بأمر شراء مسجَّل بالنظام قبل تأكيد الاستلام نهائياً  -</w:t>
      </w:r>
    </w:p>
    <w:p>
      <w:pPr>
        <w:bidi/>
        <w:spacing w:after="100"/>
        <w:ind w:start="360"/>
        <w:jc w:val="right"/>
      </w:pPr>
      <w:r>
        <w:rPr>
          <w:rFonts w:ascii="Arial" w:cs="Arial" w:eastAsia="Arial" w:hAnsi="Arial"/>
          <w:b w:val="false"/>
          <w:bCs w:val="false"/>
          <w:sz w:val="22"/>
          <w:szCs w:val="22"/>
          <w:rtl/>
        </w:rPr>
        <w:t xml:space="preserve">أي تسوية يدوية لأرصدة المخزون تتطلب موافقة صلاحية مدير، مع توثيق سبب التسوية إلزامياً  -</w:t>
      </w:r>
    </w:p>
    <w:p>
      <w:pPr>
        <w:bidi/>
        <w:spacing w:after="100"/>
        <w:ind w:start="360"/>
        <w:jc w:val="right"/>
      </w:pPr>
      <w:r>
        <w:rPr>
          <w:rFonts w:ascii="Arial" w:cs="Arial" w:eastAsia="Arial" w:hAnsi="Arial"/>
          <w:b w:val="false"/>
          <w:bCs w:val="false"/>
          <w:sz w:val="22"/>
          <w:szCs w:val="22"/>
          <w:rtl/>
        </w:rPr>
        <w:t xml:space="preserve">المواد منتهية الصلاحية أو التالفة تُسجَّل حصراً كهدر ضمن النموذج المعتمد، ولا تُخصم من رصيد المخزون دون هذا التوثيق  -</w:t>
      </w:r>
    </w:p>
    <w:p>
      <w:pPr>
        <w:bidi/>
        <w:spacing w:after="100"/>
        <w:ind w:start="360"/>
        <w:jc w:val="right"/>
      </w:pPr>
      <w:r>
        <w:rPr>
          <w:rFonts w:ascii="Arial" w:cs="Arial" w:eastAsia="Arial" w:hAnsi="Arial"/>
          <w:b w:val="false"/>
          <w:bCs w:val="false"/>
          <w:sz w:val="22"/>
          <w:szCs w:val="22"/>
          <w:rtl/>
        </w:rPr>
        <w:t xml:space="preserve">اعتماد أي مورد جديد يستلزم تدقيقاً تجارياً أساسياً وتوثيق نتيجته في ملف المورد قبل أول عملية شراء  -</w:t>
      </w:r>
    </w:p>
    <w:p>
      <w:pPr>
        <w:bidi/>
        <w:spacing w:after="100"/>
        <w:ind w:start="360"/>
        <w:jc w:val="right"/>
      </w:pPr>
      <w:r>
        <w:rPr>
          <w:rFonts w:ascii="Arial" w:cs="Arial" w:eastAsia="Arial" w:hAnsi="Arial"/>
          <w:b w:val="false"/>
          <w:bCs w:val="false"/>
          <w:sz w:val="22"/>
          <w:szCs w:val="22"/>
          <w:rtl/>
        </w:rPr>
        <w:t xml:space="preserve">الجرد الدوري الفعلي إلزامي وفق الدورية التي تحددها الإدارة، وتُقارَن نتيجته آلياً بأرصدة النظام مع توثيق أي فروقات  -</w:t>
      </w:r>
    </w:p>
    <w:p>
      <w:pPr>
        <w:bidi/>
        <w:spacing w:after="100" w:before="200"/>
        <w:jc w:val="right"/>
      </w:pPr>
      <w:r>
        <w:rPr>
          <w:rFonts w:ascii="Arial" w:cs="Arial" w:eastAsia="Arial" w:hAnsi="Arial"/>
          <w:b/>
          <w:bCs/>
          <w:sz w:val="23"/>
          <w:szCs w:val="23"/>
          <w:rtl/>
        </w:rPr>
        <w:t xml:space="preserve">المخالفة والإجراء</w:t>
      </w:r>
    </w:p>
    <w:p>
      <w:pPr>
        <w:bidi/>
        <w:spacing w:after="120"/>
        <w:jc w:val="right"/>
      </w:pPr>
      <w:r>
        <w:rPr>
          <w:rFonts w:ascii="Arial" w:cs="Arial" w:eastAsia="Arial" w:hAnsi="Arial"/>
          <w:b w:val="false"/>
          <w:bCs w:val="false"/>
          <w:i w:val="false"/>
          <w:iCs w:val="false"/>
          <w:sz w:val="22"/>
          <w:szCs w:val="22"/>
          <w:rtl/>
        </w:rPr>
        <w:t xml:space="preserve">الفروقات غير المبرَّرة أو المتكررة في المخزون تُحال تلقائياً لمراجعة داخلية، وقد تستوجب تعليق صلاحية إدارة المخزون عن الموظف المسؤول عن الموقع المعني.</w:t>
      </w:r>
    </w:p>
    <w:p>
      <w:pPr>
        <w:spacing w:after="150"/>
      </w:pPr>
    </w:p>
    <w:p>
      <w:pPr>
        <w:pStyle w:val="Heading2"/>
        <w:bidi/>
        <w:spacing w:after="140" w:before="280"/>
        <w:jc w:val="right"/>
      </w:pPr>
      <w:r>
        <w:rPr>
          <w:rFonts w:ascii="Arial" w:cs="Arial" w:eastAsia="Arial" w:hAnsi="Arial"/>
          <w:b/>
          <w:bCs/>
          <w:color w:val="2E5395"/>
          <w:sz w:val="26"/>
          <w:szCs w:val="26"/>
          <w:rtl/>
        </w:rPr>
        <w:t xml:space="preserve">٣.٣ سياسة الموارد البشرية والرواتب</w:t>
      </w:r>
    </w:p>
    <w:p>
      <w:pPr>
        <w:bidi/>
        <w:spacing w:after="120"/>
        <w:jc w:val="right"/>
      </w:pPr>
      <w:r>
        <w:rPr>
          <w:rFonts w:ascii="Arial" w:cs="Arial" w:eastAsia="Arial" w:hAnsi="Arial"/>
          <w:b w:val="false"/>
          <w:bCs w:val="false"/>
          <w:i w:val="false"/>
          <w:iCs w:val="false"/>
          <w:sz w:val="22"/>
          <w:szCs w:val="22"/>
          <w:rtl/>
        </w:rPr>
        <w:t xml:space="preserve">تصنيف الربط التقني:</w:t>
      </w:r>
    </w:p>
    <w:p>
      <w:pPr>
        <w:bidi w:val="false"/>
        <w:spacing w:after="160"/>
        <w:ind w:start="431"/>
        <w:jc w:val="right"/>
      </w:pPr>
      <w:r>
        <w:rPr>
          <w:rFonts w:ascii="Consolas" w:cs="Consolas" w:eastAsia="Consolas" w:hAnsi="Consolas"/>
          <w:i/>
          <w:iCs/>
          <w:color w:val="555555"/>
          <w:sz w:val="20"/>
          <w:szCs w:val="20"/>
        </w:rPr>
        <w:t xml:space="preserve">(hr_payroll)</w:t>
      </w:r>
    </w:p>
    <w:p>
      <w:pPr>
        <w:bidi/>
        <w:spacing w:after="100" w:before="200"/>
        <w:jc w:val="right"/>
      </w:pPr>
      <w:r>
        <w:rPr>
          <w:rFonts w:ascii="Arial" w:cs="Arial" w:eastAsia="Arial" w:hAnsi="Arial"/>
          <w:b/>
          <w:bCs/>
          <w:sz w:val="23"/>
          <w:szCs w:val="23"/>
          <w:rtl/>
        </w:rPr>
        <w:t xml:space="preserve">الهدف</w:t>
      </w:r>
    </w:p>
    <w:p>
      <w:pPr>
        <w:bidi/>
        <w:spacing w:after="120"/>
        <w:jc w:val="right"/>
      </w:pPr>
      <w:r>
        <w:rPr>
          <w:rFonts w:ascii="Arial" w:cs="Arial" w:eastAsia="Arial" w:hAnsi="Arial"/>
          <w:b w:val="false"/>
          <w:bCs w:val="false"/>
          <w:i w:val="false"/>
          <w:iCs w:val="false"/>
          <w:sz w:val="22"/>
          <w:szCs w:val="22"/>
          <w:rtl/>
        </w:rPr>
        <w:t xml:space="preserve">حماية بيانات الموظفين الحساسة، وضمان نزاهة دورة الرواتب والإجازات، وربط منح صلاحيات النظام بإجراءات موثّقة.</w:t>
      </w:r>
    </w:p>
    <w:p>
      <w:pPr>
        <w:bidi/>
        <w:spacing w:after="100" w:before="200"/>
        <w:jc w:val="right"/>
      </w:pPr>
      <w:r>
        <w:rPr>
          <w:rFonts w:ascii="Arial" w:cs="Arial" w:eastAsia="Arial" w:hAnsi="Arial"/>
          <w:b/>
          <w:bCs/>
          <w:sz w:val="23"/>
          <w:szCs w:val="23"/>
          <w:rtl/>
        </w:rPr>
        <w:t xml:space="preserve">النطاق</w:t>
      </w:r>
    </w:p>
    <w:p>
      <w:pPr>
        <w:bidi/>
        <w:spacing w:after="120"/>
        <w:jc w:val="right"/>
      </w:pPr>
      <w:r>
        <w:rPr>
          <w:rFonts w:ascii="Arial" w:cs="Arial" w:eastAsia="Arial" w:hAnsi="Arial"/>
          <w:b w:val="false"/>
          <w:bCs w:val="false"/>
          <w:i w:val="false"/>
          <w:iCs w:val="false"/>
          <w:sz w:val="22"/>
          <w:szCs w:val="22"/>
          <w:rtl/>
        </w:rPr>
        <w:t xml:space="preserve">تُطبَّق على جميع مستخدمي وحدة الموارد البشرية، وعلى كل حساب في النظام باعتباره طرفاً في دورة منح الصلاحيات.</w:t>
      </w:r>
    </w:p>
    <w:p>
      <w:pPr>
        <w:bidi/>
        <w:spacing w:after="100" w:before="200"/>
        <w:jc w:val="right"/>
      </w:pPr>
      <w:r>
        <w:rPr>
          <w:rFonts w:ascii="Arial" w:cs="Arial" w:eastAsia="Arial" w:hAnsi="Arial"/>
          <w:b/>
          <w:bCs/>
          <w:sz w:val="23"/>
          <w:szCs w:val="23"/>
          <w:rtl/>
        </w:rPr>
        <w:t xml:space="preserve">القواعد الأساسية</w:t>
      </w:r>
    </w:p>
    <w:p>
      <w:pPr>
        <w:bidi/>
        <w:spacing w:after="100"/>
        <w:ind w:start="360"/>
        <w:jc w:val="right"/>
      </w:pPr>
      <w:r>
        <w:rPr>
          <w:rFonts w:ascii="Arial" w:cs="Arial" w:eastAsia="Arial" w:hAnsi="Arial"/>
          <w:b w:val="false"/>
          <w:bCs w:val="false"/>
          <w:sz w:val="22"/>
          <w:szCs w:val="22"/>
          <w:rtl/>
        </w:rPr>
        <w:t xml:space="preserve">أي تعديل على بيانات موظف حساسة (الراتب، البدلات، البيانات المصرفية) يتطلب موافقة مزدوجة من مدير ومن صلاحية إدارية عليا  -</w:t>
      </w:r>
    </w:p>
    <w:p>
      <w:pPr>
        <w:bidi/>
        <w:spacing w:after="100"/>
        <w:ind w:start="360"/>
        <w:jc w:val="right"/>
      </w:pPr>
      <w:r>
        <w:rPr>
          <w:rFonts w:ascii="Arial" w:cs="Arial" w:eastAsia="Arial" w:hAnsi="Arial"/>
          <w:b w:val="false"/>
          <w:bCs w:val="false"/>
          <w:sz w:val="22"/>
          <w:szCs w:val="22"/>
          <w:rtl/>
        </w:rPr>
        <w:t xml:space="preserve">طلبات الإجازة والغياب تُقدَّم حصراً عبر النظام؛ الموافقات الشفهية أو خارج النظام غير معتمدة رسمياً  -</w:t>
      </w:r>
    </w:p>
    <w:p>
      <w:pPr>
        <w:bidi/>
        <w:spacing w:after="100"/>
        <w:ind w:start="360"/>
        <w:jc w:val="right"/>
      </w:pPr>
      <w:r>
        <w:rPr>
          <w:rFonts w:ascii="Arial" w:cs="Arial" w:eastAsia="Arial" w:hAnsi="Arial"/>
          <w:b w:val="false"/>
          <w:bCs w:val="false"/>
          <w:sz w:val="22"/>
          <w:szCs w:val="22"/>
          <w:rtl/>
        </w:rPr>
        <w:t xml:space="preserve">لا يُمنح أي حساب صلاحية مدير أو صلاحية إدارية عليا قبل التحقق من إتمام إقرار جميع السياسات الإلزامية المرتبطة بذلك الدور (التفصيل الكامل في القسم الرابع)  -</w:t>
      </w:r>
    </w:p>
    <w:p>
      <w:pPr>
        <w:bidi/>
        <w:spacing w:after="100"/>
        <w:ind w:start="360"/>
        <w:jc w:val="right"/>
      </w:pPr>
      <w:r>
        <w:rPr>
          <w:rFonts w:ascii="Arial" w:cs="Arial" w:eastAsia="Arial" w:hAnsi="Arial"/>
          <w:b w:val="false"/>
          <w:bCs w:val="false"/>
          <w:sz w:val="22"/>
          <w:szCs w:val="22"/>
          <w:rtl/>
        </w:rPr>
        <w:t xml:space="preserve">بيانات الموظفين الشخصية الحساسة (الهوية المدنية، الصور الشخصية، أي تقارير طبية) تُصنَّف بيانات مقيَّدة الاطلاع ولا تُعرض إلا لصاحب صلاحية مباشرة موثقة  -</w:t>
      </w:r>
    </w:p>
    <w:p>
      <w:pPr>
        <w:bidi/>
        <w:spacing w:after="100"/>
        <w:ind w:start="360"/>
        <w:jc w:val="right"/>
      </w:pPr>
      <w:r>
        <w:rPr>
          <w:rFonts w:ascii="Arial" w:cs="Arial" w:eastAsia="Arial" w:hAnsi="Arial"/>
          <w:b w:val="false"/>
          <w:bCs w:val="false"/>
          <w:sz w:val="22"/>
          <w:szCs w:val="22"/>
          <w:rtl/>
        </w:rPr>
        <w:t xml:space="preserve">إنهاء خدمة أي موظف يستوجب تعطيل صلاحيات دخوله للنظام في نفس يوم انتهاء العمل الفعلي، دون تأخير  -</w:t>
      </w:r>
    </w:p>
    <w:p>
      <w:pPr>
        <w:bidi/>
        <w:spacing w:after="100" w:before="200"/>
        <w:jc w:val="right"/>
      </w:pPr>
      <w:r>
        <w:rPr>
          <w:rFonts w:ascii="Arial" w:cs="Arial" w:eastAsia="Arial" w:hAnsi="Arial"/>
          <w:b/>
          <w:bCs/>
          <w:sz w:val="23"/>
          <w:szCs w:val="23"/>
          <w:rtl/>
        </w:rPr>
        <w:t xml:space="preserve">المخالفة والإجراء</w:t>
      </w:r>
    </w:p>
    <w:p>
      <w:pPr>
        <w:bidi/>
        <w:spacing w:after="120"/>
        <w:jc w:val="right"/>
      </w:pPr>
      <w:r>
        <w:rPr>
          <w:rFonts w:ascii="Arial" w:cs="Arial" w:eastAsia="Arial" w:hAnsi="Arial"/>
          <w:b w:val="false"/>
          <w:bCs w:val="false"/>
          <w:i w:val="false"/>
          <w:iCs w:val="false"/>
          <w:sz w:val="22"/>
          <w:szCs w:val="22"/>
          <w:rtl/>
        </w:rPr>
        <w:t xml:space="preserve">مخالفة قواعد حماية البيانات أو دورة الاعتماد المزدوج تُصعَّد مباشرة للإدارة العليا، وتخضع لإجراءات تأديبية قد تصل إلى سحب الصلاحيات نهائياً.</w:t>
      </w:r>
    </w:p>
    <w:p>
      <w:pPr>
        <w:spacing w:after="150"/>
      </w:pPr>
    </w:p>
    <w:p>
      <w:pPr>
        <w:pStyle w:val="Heading2"/>
        <w:bidi/>
        <w:spacing w:after="140" w:before="280"/>
        <w:jc w:val="right"/>
      </w:pPr>
      <w:r>
        <w:rPr>
          <w:rFonts w:ascii="Arial" w:cs="Arial" w:eastAsia="Arial" w:hAnsi="Arial"/>
          <w:b/>
          <w:bCs/>
          <w:color w:val="2E5395"/>
          <w:sz w:val="26"/>
          <w:szCs w:val="26"/>
          <w:rtl/>
        </w:rPr>
        <w:t xml:space="preserve">٣.٤ سياسة المصروفات والشؤون المالية</w:t>
      </w:r>
    </w:p>
    <w:p>
      <w:pPr>
        <w:bidi/>
        <w:spacing w:after="120"/>
        <w:jc w:val="right"/>
      </w:pPr>
      <w:r>
        <w:rPr>
          <w:rFonts w:ascii="Arial" w:cs="Arial" w:eastAsia="Arial" w:hAnsi="Arial"/>
          <w:b w:val="false"/>
          <w:bCs w:val="false"/>
          <w:i w:val="false"/>
          <w:iCs w:val="false"/>
          <w:sz w:val="22"/>
          <w:szCs w:val="22"/>
          <w:rtl/>
        </w:rPr>
        <w:t xml:space="preserve">تصنيف الربط التقني:</w:t>
      </w:r>
    </w:p>
    <w:p>
      <w:pPr>
        <w:bidi w:val="false"/>
        <w:spacing w:after="160"/>
        <w:ind w:start="431"/>
        <w:jc w:val="right"/>
      </w:pPr>
      <w:r>
        <w:rPr>
          <w:rFonts w:ascii="Consolas" w:cs="Consolas" w:eastAsia="Consolas" w:hAnsi="Consolas"/>
          <w:i/>
          <w:iCs/>
          <w:color w:val="555555"/>
          <w:sz w:val="20"/>
          <w:szCs w:val="20"/>
        </w:rPr>
        <w:t xml:space="preserve">(expenses_waste)</w:t>
      </w:r>
    </w:p>
    <w:p>
      <w:pPr>
        <w:bidi/>
        <w:spacing w:after="100" w:before="200"/>
        <w:jc w:val="right"/>
      </w:pPr>
      <w:r>
        <w:rPr>
          <w:rFonts w:ascii="Arial" w:cs="Arial" w:eastAsia="Arial" w:hAnsi="Arial"/>
          <w:b/>
          <w:bCs/>
          <w:sz w:val="23"/>
          <w:szCs w:val="23"/>
          <w:rtl/>
        </w:rPr>
        <w:t xml:space="preserve">الهدف</w:t>
      </w:r>
    </w:p>
    <w:p>
      <w:pPr>
        <w:bidi/>
        <w:spacing w:after="120"/>
        <w:jc w:val="right"/>
      </w:pPr>
      <w:r>
        <w:rPr>
          <w:rFonts w:ascii="Arial" w:cs="Arial" w:eastAsia="Arial" w:hAnsi="Arial"/>
          <w:b w:val="false"/>
          <w:bCs w:val="false"/>
          <w:i w:val="false"/>
          <w:iCs w:val="false"/>
          <w:sz w:val="22"/>
          <w:szCs w:val="22"/>
          <w:rtl/>
        </w:rPr>
        <w:t xml:space="preserve">ضبط الصرف المالي، وضمان وجود مستندات مؤيدة لكل عملية، والفصل بين إعداد القيد ومراجعته.</w:t>
      </w:r>
    </w:p>
    <w:p>
      <w:pPr>
        <w:bidi/>
        <w:spacing w:after="100" w:before="200"/>
        <w:jc w:val="right"/>
      </w:pPr>
      <w:r>
        <w:rPr>
          <w:rFonts w:ascii="Arial" w:cs="Arial" w:eastAsia="Arial" w:hAnsi="Arial"/>
          <w:b/>
          <w:bCs/>
          <w:sz w:val="23"/>
          <w:szCs w:val="23"/>
          <w:rtl/>
        </w:rPr>
        <w:t xml:space="preserve">النطاق</w:t>
      </w:r>
    </w:p>
    <w:p>
      <w:pPr>
        <w:bidi/>
        <w:spacing w:after="120"/>
        <w:jc w:val="right"/>
      </w:pPr>
      <w:r>
        <w:rPr>
          <w:rFonts w:ascii="Arial" w:cs="Arial" w:eastAsia="Arial" w:hAnsi="Arial"/>
          <w:b w:val="false"/>
          <w:bCs w:val="false"/>
          <w:i w:val="false"/>
          <w:iCs w:val="false"/>
          <w:sz w:val="22"/>
          <w:szCs w:val="22"/>
          <w:rtl/>
        </w:rPr>
        <w:t xml:space="preserve">تُطبَّق على جميع مستخدمي الوحدات المالية (المصروفات، الفواتير، الإشعارات الائتمانية) وعلى مديري تلك الوحدات.</w:t>
      </w:r>
    </w:p>
    <w:p>
      <w:pPr>
        <w:bidi/>
        <w:spacing w:after="100" w:before="200"/>
        <w:jc w:val="right"/>
      </w:pPr>
      <w:r>
        <w:rPr>
          <w:rFonts w:ascii="Arial" w:cs="Arial" w:eastAsia="Arial" w:hAnsi="Arial"/>
          <w:b/>
          <w:bCs/>
          <w:sz w:val="23"/>
          <w:szCs w:val="23"/>
          <w:rtl/>
        </w:rPr>
        <w:t xml:space="preserve">القواعد الأساسية</w:t>
      </w:r>
    </w:p>
    <w:p>
      <w:pPr>
        <w:bidi/>
        <w:spacing w:after="100"/>
        <w:ind w:start="360"/>
        <w:jc w:val="right"/>
      </w:pPr>
      <w:r>
        <w:rPr>
          <w:rFonts w:ascii="Arial" w:cs="Arial" w:eastAsia="Arial" w:hAnsi="Arial"/>
          <w:b w:val="false"/>
          <w:bCs w:val="false"/>
          <w:sz w:val="22"/>
          <w:szCs w:val="22"/>
          <w:rtl/>
        </w:rPr>
        <w:t xml:space="preserve">أي مصروف يتجاوز الحد المالي المعتمد من الإدارة يتطلب اعتماد صلاحية مدير قبل الصرف الفعلي  -</w:t>
      </w:r>
    </w:p>
    <w:p>
      <w:pPr>
        <w:bidi/>
        <w:spacing w:after="100"/>
        <w:ind w:start="360"/>
        <w:jc w:val="right"/>
      </w:pPr>
      <w:r>
        <w:rPr>
          <w:rFonts w:ascii="Arial" w:cs="Arial" w:eastAsia="Arial" w:hAnsi="Arial"/>
          <w:b w:val="false"/>
          <w:bCs w:val="false"/>
          <w:sz w:val="22"/>
          <w:szCs w:val="22"/>
          <w:rtl/>
        </w:rPr>
        <w:t xml:space="preserve">رفع الفاتورة أو الإيصال كمرفق إلزامي مع كل قيد مصروف، دون استثناء  -</w:t>
      </w:r>
    </w:p>
    <w:p>
      <w:pPr>
        <w:bidi/>
        <w:spacing w:after="100"/>
        <w:ind w:start="360"/>
        <w:jc w:val="right"/>
      </w:pPr>
      <w:r>
        <w:rPr>
          <w:rFonts w:ascii="Arial" w:cs="Arial" w:eastAsia="Arial" w:hAnsi="Arial"/>
          <w:b w:val="false"/>
          <w:bCs w:val="false"/>
          <w:sz w:val="22"/>
          <w:szCs w:val="22"/>
          <w:rtl/>
        </w:rPr>
        <w:t xml:space="preserve">صلاحية إنشاء أو تعديل فواتير المبيعات والإشعارات الائتمانية تقتصر حصراً على صلاحيات مدير فأعلى  -</w:t>
      </w:r>
    </w:p>
    <w:p>
      <w:pPr>
        <w:bidi/>
        <w:spacing w:after="100"/>
        <w:ind w:start="360"/>
        <w:jc w:val="right"/>
      </w:pPr>
      <w:r>
        <w:rPr>
          <w:rFonts w:ascii="Arial" w:cs="Arial" w:eastAsia="Arial" w:hAnsi="Arial"/>
          <w:b w:val="false"/>
          <w:bCs w:val="false"/>
          <w:sz w:val="22"/>
          <w:szCs w:val="22"/>
          <w:rtl/>
        </w:rPr>
        <w:t xml:space="preserve">أي خصم على سطر بيع يتجاوز النسبة المعتمدة يتطلب تسجيل سبب الخصم كحقل إلزامي  -</w:t>
      </w:r>
    </w:p>
    <w:p>
      <w:pPr>
        <w:bidi/>
        <w:spacing w:after="100"/>
        <w:ind w:start="360"/>
        <w:jc w:val="right"/>
      </w:pPr>
      <w:r>
        <w:rPr>
          <w:rFonts w:ascii="Arial" w:cs="Arial" w:eastAsia="Arial" w:hAnsi="Arial"/>
          <w:b w:val="false"/>
          <w:bCs w:val="false"/>
          <w:sz w:val="22"/>
          <w:szCs w:val="22"/>
          <w:rtl/>
        </w:rPr>
        <w:t xml:space="preserve">التسويات المالية والمطابقات الدورية تُراجَع من جهة مستقلة عن مُعِد القيد الأصلي، حفاظاً على مبدأ الفصل بين المهام  -</w:t>
      </w:r>
    </w:p>
    <w:p>
      <w:pPr>
        <w:bidi/>
        <w:spacing w:after="100" w:before="200"/>
        <w:jc w:val="right"/>
      </w:pPr>
      <w:r>
        <w:rPr>
          <w:rFonts w:ascii="Arial" w:cs="Arial" w:eastAsia="Arial" w:hAnsi="Arial"/>
          <w:b/>
          <w:bCs/>
          <w:sz w:val="23"/>
          <w:szCs w:val="23"/>
          <w:rtl/>
        </w:rPr>
        <w:t xml:space="preserve">المخالفة والإجراء</w:t>
      </w:r>
    </w:p>
    <w:p>
      <w:pPr>
        <w:bidi/>
        <w:spacing w:after="120"/>
        <w:jc w:val="right"/>
      </w:pPr>
      <w:r>
        <w:rPr>
          <w:rFonts w:ascii="Arial" w:cs="Arial" w:eastAsia="Arial" w:hAnsi="Arial"/>
          <w:b w:val="false"/>
          <w:bCs w:val="false"/>
          <w:i w:val="false"/>
          <w:iCs w:val="false"/>
          <w:sz w:val="22"/>
          <w:szCs w:val="22"/>
          <w:rtl/>
        </w:rPr>
        <w:t xml:space="preserve">أي تجاوز لحدود الصرف المعتمدة دون توثيق يُعامل كمخالفة مالية، ويُحال فوراً للإدارة المالية للتحقيق، مع إمكانية تعليق صلاحية إنشاء القيود المالية لحين انتهاء المراجعة.</w:t>
      </w:r>
    </w:p>
    <w:p>
      <w:pPr>
        <w:spacing w:after="150"/>
      </w:pPr>
    </w:p>
    <w:p>
      <w:pPr>
        <w:pStyle w:val="Heading2"/>
        <w:bidi/>
        <w:spacing w:after="140" w:before="280"/>
        <w:jc w:val="right"/>
      </w:pPr>
      <w:r>
        <w:rPr>
          <w:rFonts w:ascii="Arial" w:cs="Arial" w:eastAsia="Arial" w:hAnsi="Arial"/>
          <w:b/>
          <w:bCs/>
          <w:color w:val="2E5395"/>
          <w:sz w:val="26"/>
          <w:szCs w:val="26"/>
          <w:rtl/>
        </w:rPr>
        <w:t xml:space="preserve">٣.٥ سياسة التقارير وحوكمة البيانات</w:t>
      </w:r>
    </w:p>
    <w:p>
      <w:pPr>
        <w:bidi/>
        <w:spacing w:after="120"/>
        <w:jc w:val="right"/>
      </w:pPr>
      <w:r>
        <w:rPr>
          <w:rFonts w:ascii="Arial" w:cs="Arial" w:eastAsia="Arial" w:hAnsi="Arial"/>
          <w:b w:val="false"/>
          <w:bCs w:val="false"/>
          <w:i w:val="false"/>
          <w:iCs w:val="false"/>
          <w:sz w:val="22"/>
          <w:szCs w:val="22"/>
          <w:rtl/>
        </w:rPr>
        <w:t xml:space="preserve">تصنيف الربط التقني:</w:t>
      </w:r>
    </w:p>
    <w:p>
      <w:pPr>
        <w:bidi w:val="false"/>
        <w:spacing w:after="160"/>
        <w:ind w:start="431"/>
        <w:jc w:val="right"/>
      </w:pPr>
      <w:r>
        <w:rPr>
          <w:rFonts w:ascii="Consolas" w:cs="Consolas" w:eastAsia="Consolas" w:hAnsi="Consolas"/>
          <w:i/>
          <w:iCs/>
          <w:color w:val="555555"/>
          <w:sz w:val="20"/>
          <w:szCs w:val="20"/>
        </w:rPr>
        <w:t xml:space="preserve">(reports)</w:t>
      </w:r>
    </w:p>
    <w:p>
      <w:pPr>
        <w:bidi/>
        <w:spacing w:after="100" w:before="200"/>
        <w:jc w:val="right"/>
      </w:pPr>
      <w:r>
        <w:rPr>
          <w:rFonts w:ascii="Arial" w:cs="Arial" w:eastAsia="Arial" w:hAnsi="Arial"/>
          <w:b/>
          <w:bCs/>
          <w:sz w:val="23"/>
          <w:szCs w:val="23"/>
          <w:rtl/>
        </w:rPr>
        <w:t xml:space="preserve">الهدف</w:t>
      </w:r>
    </w:p>
    <w:p>
      <w:pPr>
        <w:bidi/>
        <w:spacing w:after="120"/>
        <w:jc w:val="right"/>
      </w:pPr>
      <w:r>
        <w:rPr>
          <w:rFonts w:ascii="Arial" w:cs="Arial" w:eastAsia="Arial" w:hAnsi="Arial"/>
          <w:b w:val="false"/>
          <w:bCs w:val="false"/>
          <w:i w:val="false"/>
          <w:iCs w:val="false"/>
          <w:sz w:val="22"/>
          <w:szCs w:val="22"/>
          <w:rtl/>
        </w:rPr>
        <w:t xml:space="preserve">ضبط الوصول إلى التقارير الحساسة، ومنع تسرب بيانات العملاء أو الموظفين، والحفاظ على سلامة سجلات النشاط.</w:t>
      </w:r>
    </w:p>
    <w:p>
      <w:pPr>
        <w:bidi/>
        <w:spacing w:after="100" w:before="200"/>
        <w:jc w:val="right"/>
      </w:pPr>
      <w:r>
        <w:rPr>
          <w:rFonts w:ascii="Arial" w:cs="Arial" w:eastAsia="Arial" w:hAnsi="Arial"/>
          <w:b/>
          <w:bCs/>
          <w:sz w:val="23"/>
          <w:szCs w:val="23"/>
          <w:rtl/>
        </w:rPr>
        <w:t xml:space="preserve">النطاق</w:t>
      </w:r>
    </w:p>
    <w:p>
      <w:pPr>
        <w:bidi/>
        <w:spacing w:after="120"/>
        <w:jc w:val="right"/>
      </w:pPr>
      <w:r>
        <w:rPr>
          <w:rFonts w:ascii="Arial" w:cs="Arial" w:eastAsia="Arial" w:hAnsi="Arial"/>
          <w:b w:val="false"/>
          <w:bCs w:val="false"/>
          <w:i w:val="false"/>
          <w:iCs w:val="false"/>
          <w:sz w:val="22"/>
          <w:szCs w:val="22"/>
          <w:rtl/>
        </w:rPr>
        <w:t xml:space="preserve">تُطبَّق على جميع مستخدمي وحدة التقارير، وعلى كل من له صلاحية استخراج أو تصدير بيانات من النظام.</w:t>
      </w:r>
    </w:p>
    <w:p>
      <w:pPr>
        <w:bidi/>
        <w:spacing w:after="100" w:before="200"/>
        <w:jc w:val="right"/>
      </w:pPr>
      <w:r>
        <w:rPr>
          <w:rFonts w:ascii="Arial" w:cs="Arial" w:eastAsia="Arial" w:hAnsi="Arial"/>
          <w:b/>
          <w:bCs/>
          <w:sz w:val="23"/>
          <w:szCs w:val="23"/>
          <w:rtl/>
        </w:rPr>
        <w:t xml:space="preserve">القواعد الأساسية</w:t>
      </w:r>
    </w:p>
    <w:p>
      <w:pPr>
        <w:bidi/>
        <w:spacing w:after="100"/>
        <w:ind w:start="360"/>
        <w:jc w:val="right"/>
      </w:pPr>
      <w:r>
        <w:rPr>
          <w:rFonts w:ascii="Arial" w:cs="Arial" w:eastAsia="Arial" w:hAnsi="Arial"/>
          <w:b w:val="false"/>
          <w:bCs w:val="false"/>
          <w:sz w:val="22"/>
          <w:szCs w:val="22"/>
          <w:rtl/>
        </w:rPr>
        <w:t xml:space="preserve">التقارير المالية والتشغيلية الحساسة تُقيَّد بصلاحيات مدير فأعلى حصراً  -</w:t>
      </w:r>
    </w:p>
    <w:p>
      <w:pPr>
        <w:bidi/>
        <w:spacing w:after="100"/>
        <w:ind w:start="360"/>
        <w:jc w:val="right"/>
      </w:pPr>
      <w:r>
        <w:rPr>
          <w:rFonts w:ascii="Arial" w:cs="Arial" w:eastAsia="Arial" w:hAnsi="Arial"/>
          <w:b w:val="false"/>
          <w:bCs w:val="false"/>
          <w:sz w:val="22"/>
          <w:szCs w:val="22"/>
          <w:rtl/>
        </w:rPr>
        <w:t xml:space="preserve">لا يجوز تصدير أو مشاركة أي تقرير يحتوي بيانات عملاء أو موظفين خارج النظام دون تفويض رسمي موثّق  -</w:t>
      </w:r>
    </w:p>
    <w:p>
      <w:pPr>
        <w:bidi/>
        <w:spacing w:after="100"/>
        <w:ind w:start="360"/>
        <w:jc w:val="right"/>
      </w:pPr>
      <w:r>
        <w:rPr>
          <w:rFonts w:ascii="Arial" w:cs="Arial" w:eastAsia="Arial" w:hAnsi="Arial"/>
          <w:b w:val="false"/>
          <w:bCs w:val="false"/>
          <w:sz w:val="22"/>
          <w:szCs w:val="22"/>
          <w:rtl/>
        </w:rPr>
        <w:t xml:space="preserve">كل تقرير مُعتمد للتوزيع خارج الشركة يستوجب مراجعة وتوقيع الجهة المخوّلة قبل إرساله  -</w:t>
      </w:r>
    </w:p>
    <w:p>
      <w:pPr>
        <w:bidi/>
        <w:spacing w:after="100"/>
        <w:ind w:start="360"/>
        <w:jc w:val="right"/>
      </w:pPr>
      <w:r>
        <w:rPr>
          <w:rFonts w:ascii="Arial" w:cs="Arial" w:eastAsia="Arial" w:hAnsi="Arial"/>
          <w:b w:val="false"/>
          <w:bCs w:val="false"/>
          <w:sz w:val="22"/>
          <w:szCs w:val="22"/>
          <w:rtl/>
        </w:rPr>
        <w:t xml:space="preserve">سجلات النشاط داخل النظام لا تُعدَّل أو تُحذف تحت أي ظرف من الظروف  -</w:t>
      </w:r>
    </w:p>
    <w:p>
      <w:pPr>
        <w:bidi/>
        <w:spacing w:after="100"/>
        <w:ind w:start="360"/>
        <w:jc w:val="right"/>
      </w:pPr>
      <w:r>
        <w:rPr>
          <w:rFonts w:ascii="Arial" w:cs="Arial" w:eastAsia="Arial" w:hAnsi="Arial"/>
          <w:b w:val="false"/>
          <w:bCs w:val="false"/>
          <w:sz w:val="22"/>
          <w:szCs w:val="22"/>
          <w:rtl/>
        </w:rPr>
        <w:t xml:space="preserve">الاحتفاظ بالبيانات وأرشفتها يتبع سياسة الاحتفاظ المعتمدة من الإدارة، والتي تُحدَّد بالتنسيق مع الجهة القانونية المختصة  -</w:t>
      </w:r>
    </w:p>
    <w:p>
      <w:pPr>
        <w:bidi/>
        <w:spacing w:after="100" w:before="200"/>
        <w:jc w:val="right"/>
      </w:pPr>
      <w:r>
        <w:rPr>
          <w:rFonts w:ascii="Arial" w:cs="Arial" w:eastAsia="Arial" w:hAnsi="Arial"/>
          <w:b/>
          <w:bCs/>
          <w:sz w:val="23"/>
          <w:szCs w:val="23"/>
          <w:rtl/>
        </w:rPr>
        <w:t xml:space="preserve">المخالفة والإجراء</w:t>
      </w:r>
    </w:p>
    <w:p>
      <w:pPr>
        <w:bidi/>
        <w:spacing w:after="120"/>
        <w:jc w:val="right"/>
      </w:pPr>
      <w:r>
        <w:rPr>
          <w:rFonts w:ascii="Arial" w:cs="Arial" w:eastAsia="Arial" w:hAnsi="Arial"/>
          <w:b w:val="false"/>
          <w:bCs w:val="false"/>
          <w:i w:val="false"/>
          <w:iCs w:val="false"/>
          <w:sz w:val="22"/>
          <w:szCs w:val="22"/>
          <w:rtl/>
        </w:rPr>
        <w:t xml:space="preserve">أي تسريب أو مشاركة غير مصرَّح بها لبيانات من هذا النطاق يُعامل كمخالفة جسيمة، ويُحال فوراً لإدارة الحوكمة والامتثال ولإدارة الموارد البشرية معاً.</w:t>
      </w:r>
    </w:p>
    <w:p>
      <w:pPr>
        <w:spacing w:after="150"/>
      </w:pPr>
    </w:p>
    <w:p>
      <w:pPr>
        <w:pStyle w:val="Heading1"/>
        <w:pBdr>
          <w:bottom w:val="single" w:color="2E5395" w:sz="6" w:space="4"/>
        </w:pBdr>
        <w:bidi/>
        <w:spacing w:after="200" w:before="400"/>
        <w:jc w:val="right"/>
      </w:pPr>
      <w:r>
        <w:rPr>
          <w:rFonts w:ascii="Arial" w:cs="Arial" w:eastAsia="Arial" w:hAnsi="Arial"/>
          <w:b/>
          <w:bCs/>
          <w:color w:val="1F3864"/>
          <w:sz w:val="32"/>
          <w:szCs w:val="32"/>
          <w:rtl/>
        </w:rPr>
        <w:t xml:space="preserve">4. شرط الإقرار الرقمي قبل منح الصلاحية</w:t>
      </w:r>
    </w:p>
    <w:p>
      <w:pPr>
        <w:bidi/>
        <w:spacing w:after="120"/>
        <w:jc w:val="right"/>
      </w:pPr>
      <w:r>
        <w:rPr>
          <w:rFonts w:ascii="Arial" w:cs="Arial" w:eastAsia="Arial" w:hAnsi="Arial"/>
          <w:b w:val="false"/>
          <w:bCs w:val="false"/>
          <w:i w:val="false"/>
          <w:iCs w:val="false"/>
          <w:sz w:val="22"/>
          <w:szCs w:val="22"/>
          <w:rtl/>
        </w:rPr>
        <w:t xml:space="preserve">هذا القسم يمثل التوسع التنظيمي الجديد المطلوب فوق ما هو منفَّذ حالياً في النظام. الوضع الحالي يسجّل إقرار الموظف بسياسة معيّنة، لكنه لا يمنع فعلياً منح الصلاحية أو تفعيلها في حال وجود إقرارات إلزامية معلّقة. الهدف من هذا القسم إغلاق هذه الفجوة.</w:t>
      </w:r>
    </w:p>
    <w:p>
      <w:pPr>
        <w:pStyle w:val="Heading2"/>
        <w:bidi/>
        <w:spacing w:after="140" w:before="280"/>
        <w:jc w:val="right"/>
      </w:pPr>
      <w:r>
        <w:rPr>
          <w:rFonts w:ascii="Arial" w:cs="Arial" w:eastAsia="Arial" w:hAnsi="Arial"/>
          <w:b/>
          <w:bCs/>
          <w:color w:val="2E5395"/>
          <w:sz w:val="26"/>
          <w:szCs w:val="26"/>
          <w:rtl/>
        </w:rPr>
        <w:t xml:space="preserve">متى يُطبَّق الشرط</w:t>
      </w:r>
    </w:p>
    <w:p>
      <w:pPr>
        <w:bidi/>
        <w:spacing w:after="100"/>
        <w:ind w:start="360"/>
        <w:jc w:val="right"/>
      </w:pPr>
      <w:r>
        <w:rPr>
          <w:rFonts w:ascii="Arial" w:cs="Arial" w:eastAsia="Arial" w:hAnsi="Arial"/>
          <w:b w:val="false"/>
          <w:bCs w:val="false"/>
          <w:sz w:val="22"/>
          <w:szCs w:val="22"/>
          <w:rtl/>
        </w:rPr>
        <w:t xml:space="preserve">عند إنشاء حساب مستخدم جديد بأي دور من الأدوار الثلاثة  -</w:t>
      </w:r>
    </w:p>
    <w:p>
      <w:pPr>
        <w:bidi w:val="false"/>
        <w:spacing w:after="160"/>
        <w:ind w:start="431"/>
        <w:jc w:val="right"/>
      </w:pPr>
      <w:r>
        <w:rPr>
          <w:rFonts w:ascii="Consolas" w:cs="Consolas" w:eastAsia="Consolas" w:hAnsi="Consolas"/>
          <w:i/>
          <w:iCs/>
          <w:color w:val="555555"/>
          <w:sz w:val="20"/>
          <w:szCs w:val="20"/>
        </w:rPr>
        <w:t xml:space="preserve">(admin, manager, employee)</w:t>
      </w:r>
    </w:p>
    <w:p>
      <w:pPr>
        <w:bidi/>
        <w:spacing w:after="100"/>
        <w:ind w:start="360"/>
        <w:jc w:val="right"/>
      </w:pPr>
      <w:r>
        <w:rPr>
          <w:rFonts w:ascii="Arial" w:cs="Arial" w:eastAsia="Arial" w:hAnsi="Arial"/>
          <w:b w:val="false"/>
          <w:bCs w:val="false"/>
          <w:sz w:val="22"/>
          <w:szCs w:val="22"/>
          <w:rtl/>
        </w:rPr>
        <w:t xml:space="preserve">عند ترقية أو تغيير دور مستخدم قائم إلى دور له متطلبات سياسات إضافية لم يُقرّها سابقاً  -</w:t>
      </w:r>
    </w:p>
    <w:p>
      <w:pPr>
        <w:pStyle w:val="Heading2"/>
        <w:bidi/>
        <w:spacing w:after="140" w:before="280"/>
        <w:jc w:val="right"/>
      </w:pPr>
      <w:r>
        <w:rPr>
          <w:rFonts w:ascii="Arial" w:cs="Arial" w:eastAsia="Arial" w:hAnsi="Arial"/>
          <w:b/>
          <w:bCs/>
          <w:color w:val="2E5395"/>
          <w:sz w:val="26"/>
          <w:szCs w:val="26"/>
          <w:rtl/>
        </w:rPr>
        <w:t xml:space="preserve">الآلية المطلوبة</w:t>
      </w:r>
    </w:p>
    <w:p>
      <w:pPr>
        <w:bidi/>
        <w:spacing w:after="120"/>
        <w:jc w:val="right"/>
      </w:pPr>
      <w:r>
        <w:rPr>
          <w:rFonts w:ascii="Arial" w:cs="Arial" w:eastAsia="Arial" w:hAnsi="Arial"/>
          <w:b w:val="false"/>
          <w:bCs w:val="false"/>
          <w:i w:val="false"/>
          <w:iCs w:val="false"/>
          <w:sz w:val="22"/>
          <w:szCs w:val="22"/>
          <w:rtl/>
        </w:rPr>
        <w:t xml:space="preserve">يُقترح إدخال حالة حساب وسيطة جديدة تُطبَّق تلقائياً عند انطباق الشرط أعلاه:</w:t>
      </w:r>
    </w:p>
    <w:p>
      <w:pPr>
        <w:bidi w:val="false"/>
        <w:spacing w:after="160"/>
        <w:ind w:start="431"/>
        <w:jc w:val="right"/>
      </w:pPr>
      <w:r>
        <w:rPr>
          <w:rFonts w:ascii="Consolas" w:cs="Consolas" w:eastAsia="Consolas" w:hAnsi="Consolas"/>
          <w:i/>
          <w:iCs/>
          <w:color w:val="555555"/>
          <w:sz w:val="20"/>
          <w:szCs w:val="20"/>
        </w:rPr>
        <w:t xml:space="preserve">(pending_acknowledgment)</w:t>
      </w:r>
    </w:p>
    <w:p>
      <w:pPr>
        <w:bidi/>
        <w:spacing w:after="100"/>
        <w:ind w:start="360"/>
        <w:jc w:val="right"/>
      </w:pPr>
      <w:r>
        <w:rPr>
          <w:rFonts w:ascii="Arial" w:cs="Arial" w:eastAsia="Arial" w:hAnsi="Arial"/>
          <w:b w:val="false"/>
          <w:bCs w:val="false"/>
          <w:sz w:val="22"/>
          <w:szCs w:val="22"/>
          <w:rtl/>
        </w:rPr>
        <w:t xml:space="preserve">عند إنشاء المستخدم بدور جديد له سياسات إلزامية مرتبطة، يُنشأ الحساب مباشرة بهذه الحالة الوسيطة بدلاً من التفعيل الفوري الكامل  -</w:t>
      </w:r>
    </w:p>
    <w:p>
      <w:pPr>
        <w:bidi/>
        <w:spacing w:after="100"/>
        <w:ind w:start="360"/>
        <w:jc w:val="right"/>
      </w:pPr>
      <w:r>
        <w:rPr>
          <w:rFonts w:ascii="Arial" w:cs="Arial" w:eastAsia="Arial" w:hAnsi="Arial"/>
          <w:b w:val="false"/>
          <w:bCs w:val="false"/>
          <w:sz w:val="22"/>
          <w:szCs w:val="22"/>
          <w:rtl/>
        </w:rPr>
        <w:t xml:space="preserve">الحساب في هذه الحالة يستطيع الدخول لغرض إقرار السياسات المعلّقة فقط (نفس نافذة الإقرار الإلزامي الحالية بالنظام)، ولا تُمنح له أي صلاحية تنفيذية أخرى داخل النظام حتى إتمام الإقرار  -</w:t>
      </w:r>
    </w:p>
    <w:p>
      <w:pPr>
        <w:bidi/>
        <w:spacing w:after="100"/>
        <w:ind w:start="360"/>
        <w:jc w:val="right"/>
      </w:pPr>
      <w:r>
        <w:rPr>
          <w:rFonts w:ascii="Arial" w:cs="Arial" w:eastAsia="Arial" w:hAnsi="Arial"/>
          <w:b w:val="false"/>
          <w:bCs w:val="false"/>
          <w:sz w:val="22"/>
          <w:szCs w:val="22"/>
          <w:rtl/>
        </w:rPr>
        <w:t xml:space="preserve">فور إقرار جميع السياسات الإلزامية المرتبطة بالدور، يتحول الحساب تلقائياً إلى الحالة النشطة وتُمنح كامل صلاحيات ذلك الدور  -</w:t>
      </w:r>
    </w:p>
    <w:p>
      <w:pPr>
        <w:bidi/>
        <w:spacing w:after="100"/>
        <w:ind w:start="360"/>
        <w:jc w:val="right"/>
      </w:pPr>
      <w:r>
        <w:rPr>
          <w:rFonts w:ascii="Arial" w:cs="Arial" w:eastAsia="Arial" w:hAnsi="Arial"/>
          <w:b w:val="false"/>
          <w:bCs w:val="false"/>
          <w:sz w:val="22"/>
          <w:szCs w:val="22"/>
          <w:rtl/>
        </w:rPr>
        <w:t xml:space="preserve">أي محاولة لتنفيذ إجراء محمي من حساب لديه إقرارات إلزامية معلّقة تُرفض من الخادم مباشرة، لا من الواجهة فقط، اتساقاً مع مبدأ التحقق من صلاحيات الخطة المطبَّق فعلياً على بقية النظام  -</w:t>
      </w:r>
    </w:p>
    <w:p>
      <w:pPr>
        <w:pStyle w:val="Heading2"/>
        <w:bidi/>
        <w:spacing w:after="140" w:before="280"/>
        <w:jc w:val="right"/>
      </w:pPr>
      <w:r>
        <w:rPr>
          <w:rFonts w:ascii="Arial" w:cs="Arial" w:eastAsia="Arial" w:hAnsi="Arial"/>
          <w:b/>
          <w:bCs/>
          <w:color w:val="2E5395"/>
          <w:sz w:val="26"/>
          <w:szCs w:val="26"/>
          <w:rtl/>
        </w:rPr>
        <w:t xml:space="preserve">حالة ترقية موظف قائم</w:t>
      </w:r>
    </w:p>
    <w:p>
      <w:pPr>
        <w:bidi/>
        <w:spacing w:after="120"/>
        <w:jc w:val="right"/>
      </w:pPr>
      <w:r>
        <w:rPr>
          <w:rFonts w:ascii="Arial" w:cs="Arial" w:eastAsia="Arial" w:hAnsi="Arial"/>
          <w:b w:val="false"/>
          <w:bCs w:val="false"/>
          <w:i w:val="false"/>
          <w:iCs w:val="false"/>
          <w:sz w:val="22"/>
          <w:szCs w:val="22"/>
          <w:rtl/>
        </w:rPr>
        <w:t xml:space="preserve">عند ترقية موظف يعمل بالفعل ولديه صلاحيات نشطة إلى دور جديد له متطلبات إضافية، تُطرح الإدارة خيارين، على أن يُحسم القرار قبل بدء التنفيذ التقني:</w:t>
      </w:r>
    </w:p>
    <w:p>
      <w:pPr>
        <w:bidi/>
        <w:spacing w:after="100"/>
        <w:ind w:start="360"/>
        <w:jc w:val="right"/>
      </w:pPr>
      <w:r>
        <w:rPr>
          <w:rFonts w:ascii="Arial" w:cs="Arial" w:eastAsia="Arial" w:hAnsi="Arial"/>
          <w:b w:val="false"/>
          <w:bCs w:val="false"/>
          <w:sz w:val="22"/>
          <w:szCs w:val="22"/>
          <w:rtl/>
        </w:rPr>
        <w:t xml:space="preserve">الخيار الأول (المُوصى به): تدرّج — يبقى وصوله الحالي فعّالاً دون تعطيل، وتُقيَّد فقط الصلاحيات الإضافية المرتبطة بالدور الجديد لحين إتمام الإقرار  -</w:t>
      </w:r>
    </w:p>
    <w:p>
      <w:pPr>
        <w:bidi/>
        <w:spacing w:after="100"/>
        <w:ind w:start="360"/>
        <w:jc w:val="right"/>
      </w:pPr>
      <w:r>
        <w:rPr>
          <w:rFonts w:ascii="Arial" w:cs="Arial" w:eastAsia="Arial" w:hAnsi="Arial"/>
          <w:b w:val="false"/>
          <w:bCs w:val="false"/>
          <w:sz w:val="22"/>
          <w:szCs w:val="22"/>
          <w:rtl/>
        </w:rPr>
        <w:t xml:space="preserve">الخيار الثاني (أكثر تشدداً): تعطيل كامل مؤقت لكل صلاحيات الحساب لحين إتمام إقرار السياسات الجديدة بالكامل  -</w:t>
      </w:r>
    </w:p>
    <w:p>
      <w:pPr>
        <w:pStyle w:val="Heading2"/>
        <w:bidi/>
        <w:spacing w:after="140" w:before="280"/>
        <w:jc w:val="right"/>
      </w:pPr>
      <w:r>
        <w:rPr>
          <w:rFonts w:ascii="Arial" w:cs="Arial" w:eastAsia="Arial" w:hAnsi="Arial"/>
          <w:b/>
          <w:bCs/>
          <w:color w:val="2E5395"/>
          <w:sz w:val="26"/>
          <w:szCs w:val="26"/>
          <w:rtl/>
        </w:rPr>
        <w:t xml:space="preserve">التوقيع الرقمي</w:t>
      </w:r>
    </w:p>
    <w:p>
      <w:pPr>
        <w:bidi/>
        <w:spacing w:after="120"/>
        <w:jc w:val="right"/>
      </w:pPr>
      <w:r>
        <w:rPr>
          <w:rFonts w:ascii="Arial" w:cs="Arial" w:eastAsia="Arial" w:hAnsi="Arial"/>
          <w:b w:val="false"/>
          <w:bCs w:val="false"/>
          <w:i w:val="false"/>
          <w:iCs w:val="false"/>
          <w:sz w:val="22"/>
          <w:szCs w:val="22"/>
          <w:rtl/>
        </w:rPr>
        <w:t xml:space="preserve">يُعتمد سجل الإقرار المسجَّل فعلياً في النظام كبديل عملي للتوقيع الرقمي التقليدي، حيث يحفظ النظام حالياً لكل إقرار:</w:t>
      </w:r>
    </w:p>
    <w:p>
      <w:pPr>
        <w:bidi w:val="false"/>
        <w:spacing w:after="160"/>
        <w:ind w:start="431"/>
        <w:jc w:val="right"/>
      </w:pPr>
      <w:r>
        <w:rPr>
          <w:rFonts w:ascii="Consolas" w:cs="Consolas" w:eastAsia="Consolas" w:hAnsi="Consolas"/>
          <w:i/>
          <w:iCs/>
          <w:color w:val="555555"/>
          <w:sz w:val="20"/>
          <w:szCs w:val="20"/>
        </w:rPr>
        <w:t xml:space="preserve">(employee_id, acknowledged_at, ip_address, device_info)</w:t>
      </w:r>
    </w:p>
    <w:p>
      <w:pPr>
        <w:bidi/>
        <w:spacing w:after="120"/>
        <w:jc w:val="right"/>
      </w:pPr>
      <w:r>
        <w:rPr>
          <w:rFonts w:ascii="Arial" w:cs="Arial" w:eastAsia="Arial" w:hAnsi="Arial"/>
          <w:b w:val="false"/>
          <w:bCs w:val="false"/>
          <w:i w:val="false"/>
          <w:iCs w:val="false"/>
          <w:sz w:val="22"/>
          <w:szCs w:val="22"/>
          <w:rtl/>
        </w:rPr>
        <w:t xml:space="preserve">يُوصى بإضافة اسم الموظف ورقمه الوظيفي بشكل صريح ومقروء على أي تقرير امتثال يُصدَّر من هذا السجل، دون تعديل بنية الجدول نفسها.</w:t>
      </w:r>
    </w:p>
    <w:p>
      <w:pPr>
        <w:pStyle w:val="Heading1"/>
        <w:pBdr>
          <w:bottom w:val="single" w:color="2E5395" w:sz="6" w:space="4"/>
        </w:pBdr>
        <w:bidi/>
        <w:spacing w:after="200" w:before="400"/>
        <w:jc w:val="right"/>
      </w:pPr>
      <w:r>
        <w:rPr>
          <w:rFonts w:ascii="Arial" w:cs="Arial" w:eastAsia="Arial" w:hAnsi="Arial"/>
          <w:b/>
          <w:bCs/>
          <w:color w:val="1F3864"/>
          <w:sz w:val="32"/>
          <w:szCs w:val="32"/>
          <w:rtl/>
        </w:rPr>
        <w:t xml:space="preserve">5. جدول ربط الأدوار بالسياسات الإلزامية</w:t>
      </w:r>
    </w:p>
    <w:p>
      <w:pPr>
        <w:bidi/>
        <w:spacing w:after="120"/>
        <w:jc w:val="right"/>
      </w:pPr>
      <w:r>
        <w:rPr>
          <w:rFonts w:ascii="Arial" w:cs="Arial" w:eastAsia="Arial" w:hAnsi="Arial"/>
          <w:b w:val="false"/>
          <w:bCs w:val="false"/>
          <w:i w:val="false"/>
          <w:iCs w:val="false"/>
          <w:sz w:val="22"/>
          <w:szCs w:val="22"/>
          <w:rtl/>
        </w:rPr>
        <w:t xml:space="preserve">الجدول التالي يحدد الحد الأدنى من السياسات الواجب ربطها إلزامياً بكل دور، ليكون الأساس الذي يُدخَل عبر شاشة "المتطلبات حسب الدور" في موديول السياسات:</w:t>
      </w:r>
    </w:p>
    <w:p>
      <w:pPr>
        <w:spacing w:after="80"/>
      </w:pPr>
    </w:p>
    <w:tbl>
      <w:tblPr>
        <w:bidiVisual/>
        <w:tblW w:type="dxa" w:w="10274"/>
        <w:tblBorders>
          <w:top w:val="single" w:color="auto" w:sz="4"/>
          <w:left w:val="single" w:color="auto" w:sz="4"/>
          <w:bottom w:val="single" w:color="auto" w:sz="4"/>
          <w:right w:val="single" w:color="auto" w:sz="4"/>
          <w:insideH w:val="single" w:color="auto" w:sz="4"/>
          <w:insideV w:val="single" w:color="auto" w:sz="4"/>
        </w:tblBorders>
      </w:tblPr>
      <w:tblGrid>
        <w:gridCol w:w="2000"/>
        <w:gridCol w:w="5800"/>
        <w:gridCol w:w="2474"/>
      </w:tblGrid>
      <w:tr>
        <w:trPr>
          <w:tblHeader/>
        </w:trPr>
        <w:tc>
          <w:tcPr>
            <w:tcW w:type="dxa" w:w="2000"/>
            <w:shd w:fill="1F3864" w:val="clear"/>
            <w:tcMar>
              <w:top w:type="dxa" w:w="100"/>
              <w:left w:type="dxa" w:w="100"/>
              <w:bottom w:type="dxa" w:w="100"/>
              <w:right w:type="dxa" w:w="100"/>
            </w:tcMar>
          </w:tcPr>
          <w:p>
            <w:pPr>
              <w:bidi/>
              <w:jc w:val="center"/>
            </w:pPr>
            <w:r>
              <w:rPr>
                <w:rFonts w:ascii="Arial" w:cs="Arial" w:eastAsia="Arial" w:hAnsi="Arial"/>
                <w:b/>
                <w:bCs/>
                <w:color w:val="FFFFFF"/>
                <w:sz w:val="20"/>
                <w:szCs w:val="20"/>
                <w:rtl/>
              </w:rPr>
              <w:t xml:space="preserve">الدور</w:t>
            </w:r>
          </w:p>
        </w:tc>
        <w:tc>
          <w:tcPr>
            <w:tcW w:type="dxa" w:w="5800"/>
            <w:shd w:fill="1F3864" w:val="clear"/>
            <w:tcMar>
              <w:top w:type="dxa" w:w="100"/>
              <w:left w:type="dxa" w:w="100"/>
              <w:bottom w:type="dxa" w:w="100"/>
              <w:right w:type="dxa" w:w="100"/>
            </w:tcMar>
          </w:tcPr>
          <w:p>
            <w:pPr>
              <w:bidi/>
              <w:jc w:val="center"/>
            </w:pPr>
            <w:r>
              <w:rPr>
                <w:rFonts w:ascii="Arial" w:cs="Arial" w:eastAsia="Arial" w:hAnsi="Arial"/>
                <w:b/>
                <w:bCs/>
                <w:color w:val="FFFFFF"/>
                <w:sz w:val="20"/>
                <w:szCs w:val="20"/>
                <w:rtl/>
              </w:rPr>
              <w:t xml:space="preserve">السياسات الإلزامية</w:t>
            </w:r>
          </w:p>
        </w:tc>
        <w:tc>
          <w:tcPr>
            <w:tcW w:type="dxa" w:w="2474"/>
            <w:shd w:fill="1F3864" w:val="clear"/>
            <w:tcMar>
              <w:top w:type="dxa" w:w="100"/>
              <w:left w:type="dxa" w:w="100"/>
              <w:bottom w:type="dxa" w:w="100"/>
              <w:right w:type="dxa" w:w="100"/>
            </w:tcMar>
          </w:tcPr>
          <w:p>
            <w:pPr>
              <w:bidi/>
              <w:jc w:val="center"/>
            </w:pPr>
            <w:r>
              <w:rPr>
                <w:rFonts w:ascii="Arial" w:cs="Arial" w:eastAsia="Arial" w:hAnsi="Arial"/>
                <w:b/>
                <w:bCs/>
                <w:color w:val="FFFFFF"/>
                <w:sz w:val="20"/>
                <w:szCs w:val="20"/>
                <w:rtl/>
              </w:rPr>
              <w:t xml:space="preserve">ملاحظات</w:t>
            </w:r>
          </w:p>
        </w:tc>
      </w:tr>
      <w:tr>
        <w:tc>
          <w:tcPr>
            <w:tcW w:type="dxa" w:w="2000"/>
            <w:tcMar>
              <w:top w:type="dxa" w:w="80"/>
              <w:left w:type="dxa" w:w="100"/>
              <w:bottom w:type="dxa" w:w="80"/>
              <w:right w:type="dxa" w:w="100"/>
            </w:tcMar>
          </w:tcPr>
          <w:p>
            <w:pPr>
              <w:bidi/>
              <w:jc w:val="right"/>
            </w:pPr>
            <w:r>
              <w:rPr>
                <w:rFonts w:ascii="Arial" w:cs="Arial" w:eastAsia="Arial" w:hAnsi="Arial"/>
                <w:sz w:val="19"/>
                <w:szCs w:val="19"/>
                <w:rtl/>
              </w:rPr>
              <w:t xml:space="preserve">employee</w:t>
            </w:r>
          </w:p>
        </w:tc>
        <w:tc>
          <w:tcPr>
            <w:tcW w:type="dxa" w:w="5800"/>
            <w:tcMar>
              <w:top w:type="dxa" w:w="80"/>
              <w:left w:type="dxa" w:w="100"/>
              <w:bottom w:type="dxa" w:w="80"/>
              <w:right w:type="dxa" w:w="100"/>
            </w:tcMar>
          </w:tcPr>
          <w:p>
            <w:pPr>
              <w:bidi/>
              <w:jc w:val="right"/>
            </w:pPr>
            <w:r>
              <w:rPr>
                <w:rFonts w:ascii="Arial" w:cs="Arial" w:eastAsia="Arial" w:hAnsi="Arial"/>
                <w:sz w:val="19"/>
                <w:szCs w:val="19"/>
                <w:rtl/>
              </w:rPr>
              <w:t xml:space="preserve">سياسة القسم الذي يعمل به الموظف + سياسة السلامة والصحة المهنية + سياسة خصوصية البيانات</w:t>
            </w:r>
          </w:p>
        </w:tc>
        <w:tc>
          <w:tcPr>
            <w:tcW w:type="dxa" w:w="2474"/>
            <w:tcMar>
              <w:top w:type="dxa" w:w="80"/>
              <w:left w:type="dxa" w:w="100"/>
              <w:bottom w:type="dxa" w:w="80"/>
              <w:right w:type="dxa" w:w="100"/>
            </w:tcMar>
          </w:tcPr>
          <w:p>
            <w:pPr>
              <w:bidi/>
              <w:jc w:val="right"/>
            </w:pPr>
            <w:r>
              <w:rPr>
                <w:rFonts w:ascii="Arial" w:cs="Arial" w:eastAsia="Arial" w:hAnsi="Arial"/>
                <w:sz w:val="19"/>
                <w:szCs w:val="19"/>
                <w:rtl/>
              </w:rPr>
              <w:t xml:space="preserve">الحد الأدنى المطلق؛ لا يُستثنى أي موظف تشغيلي منها</w:t>
            </w:r>
          </w:p>
        </w:tc>
      </w:tr>
      <w:tr>
        <w:tc>
          <w:tcPr>
            <w:tcW w:type="dxa" w:w="2000"/>
            <w:tcMar>
              <w:top w:type="dxa" w:w="80"/>
              <w:left w:type="dxa" w:w="100"/>
              <w:bottom w:type="dxa" w:w="80"/>
              <w:right w:type="dxa" w:w="100"/>
            </w:tcMar>
          </w:tcPr>
          <w:p>
            <w:pPr>
              <w:bidi/>
              <w:jc w:val="right"/>
            </w:pPr>
            <w:r>
              <w:rPr>
                <w:rFonts w:ascii="Arial" w:cs="Arial" w:eastAsia="Arial" w:hAnsi="Arial"/>
                <w:sz w:val="19"/>
                <w:szCs w:val="19"/>
                <w:rtl/>
              </w:rPr>
              <w:t xml:space="preserve">manager</w:t>
            </w:r>
          </w:p>
        </w:tc>
        <w:tc>
          <w:tcPr>
            <w:tcW w:type="dxa" w:w="5800"/>
            <w:tcMar>
              <w:top w:type="dxa" w:w="80"/>
              <w:left w:type="dxa" w:w="100"/>
              <w:bottom w:type="dxa" w:w="80"/>
              <w:right w:type="dxa" w:w="100"/>
            </w:tcMar>
          </w:tcPr>
          <w:p>
            <w:pPr>
              <w:bidi/>
              <w:jc w:val="right"/>
            </w:pPr>
            <w:r>
              <w:rPr>
                <w:rFonts w:ascii="Arial" w:cs="Arial" w:eastAsia="Arial" w:hAnsi="Arial"/>
                <w:sz w:val="19"/>
                <w:szCs w:val="19"/>
                <w:rtl/>
              </w:rPr>
              <w:t xml:space="preserve">كل سياسات دور الموظف الأساسي + سياسة السلوك المهني العام + سياسة القسم الذي يديره كاملة</w:t>
            </w:r>
          </w:p>
        </w:tc>
        <w:tc>
          <w:tcPr>
            <w:tcW w:type="dxa" w:w="2474"/>
            <w:tcMar>
              <w:top w:type="dxa" w:w="80"/>
              <w:left w:type="dxa" w:w="100"/>
              <w:bottom w:type="dxa" w:w="80"/>
              <w:right w:type="dxa" w:w="100"/>
            </w:tcMar>
          </w:tcPr>
          <w:p>
            <w:pPr>
              <w:bidi/>
              <w:jc w:val="right"/>
            </w:pPr>
            <w:r>
              <w:rPr>
                <w:rFonts w:ascii="Arial" w:cs="Arial" w:eastAsia="Arial" w:hAnsi="Arial"/>
                <w:sz w:val="19"/>
                <w:szCs w:val="19"/>
                <w:rtl/>
              </w:rPr>
              <w:t xml:space="preserve">يُضاف أي قسم إضافي يشرف عليه المدير</w:t>
            </w:r>
          </w:p>
        </w:tc>
      </w:tr>
      <w:tr>
        <w:tc>
          <w:tcPr>
            <w:tcW w:type="dxa" w:w="2000"/>
            <w:tcMar>
              <w:top w:type="dxa" w:w="80"/>
              <w:left w:type="dxa" w:w="100"/>
              <w:bottom w:type="dxa" w:w="80"/>
              <w:right w:type="dxa" w:w="100"/>
            </w:tcMar>
          </w:tcPr>
          <w:p>
            <w:pPr>
              <w:bidi/>
              <w:jc w:val="right"/>
            </w:pPr>
            <w:r>
              <w:rPr>
                <w:rFonts w:ascii="Arial" w:cs="Arial" w:eastAsia="Arial" w:hAnsi="Arial"/>
                <w:sz w:val="19"/>
                <w:szCs w:val="19"/>
                <w:rtl/>
              </w:rPr>
              <w:t xml:space="preserve">admin</w:t>
            </w:r>
          </w:p>
        </w:tc>
        <w:tc>
          <w:tcPr>
            <w:tcW w:type="dxa" w:w="5800"/>
            <w:tcMar>
              <w:top w:type="dxa" w:w="80"/>
              <w:left w:type="dxa" w:w="100"/>
              <w:bottom w:type="dxa" w:w="80"/>
              <w:right w:type="dxa" w:w="100"/>
            </w:tcMar>
          </w:tcPr>
          <w:p>
            <w:pPr>
              <w:bidi/>
              <w:jc w:val="right"/>
            </w:pPr>
            <w:r>
              <w:rPr>
                <w:rFonts w:ascii="Arial" w:cs="Arial" w:eastAsia="Arial" w:hAnsi="Arial"/>
                <w:sz w:val="19"/>
                <w:szCs w:val="19"/>
                <w:rtl/>
              </w:rPr>
              <w:t xml:space="preserve">جميع سياسات الأقسام الخمسة المعتمدة + سياسة حوكمة البيانات والتقارير</w:t>
            </w:r>
          </w:p>
        </w:tc>
        <w:tc>
          <w:tcPr>
            <w:tcW w:type="dxa" w:w="2474"/>
            <w:tcMar>
              <w:top w:type="dxa" w:w="80"/>
              <w:left w:type="dxa" w:w="100"/>
              <w:bottom w:type="dxa" w:w="80"/>
              <w:right w:type="dxa" w:w="100"/>
            </w:tcMar>
          </w:tcPr>
          <w:p>
            <w:pPr>
              <w:bidi/>
              <w:jc w:val="right"/>
            </w:pPr>
            <w:r>
              <w:rPr>
                <w:rFonts w:ascii="Arial" w:cs="Arial" w:eastAsia="Arial" w:hAnsi="Arial"/>
                <w:sz w:val="19"/>
                <w:szCs w:val="19"/>
                <w:rtl/>
              </w:rPr>
              <w:t xml:space="preserve">لا يُفعَّل أي حساب admin دون إقرار كامل للسياسات الخمس</w:t>
            </w:r>
          </w:p>
        </w:tc>
      </w:tr>
    </w:tbl>
    <w:p>
      <w:pPr>
        <w:pStyle w:val="Heading1"/>
        <w:pBdr>
          <w:bottom w:val="single" w:color="2E5395" w:sz="6" w:space="4"/>
        </w:pBdr>
        <w:bidi/>
        <w:spacing w:after="200" w:before="400"/>
        <w:jc w:val="right"/>
      </w:pPr>
      <w:r>
        <w:rPr>
          <w:rFonts w:ascii="Arial" w:cs="Arial" w:eastAsia="Arial" w:hAnsi="Arial"/>
          <w:b/>
          <w:bCs/>
          <w:color w:val="1F3864"/>
          <w:sz w:val="32"/>
          <w:szCs w:val="32"/>
          <w:rtl/>
        </w:rPr>
        <w:t xml:space="preserve">6. الخطوات التالية — تسليم للمعمارية التقنية</w:t>
      </w:r>
    </w:p>
    <w:p>
      <w:pPr>
        <w:bidi/>
        <w:spacing w:after="120"/>
        <w:jc w:val="right"/>
      </w:pPr>
      <w:r>
        <w:rPr>
          <w:rFonts w:ascii="Arial" w:cs="Arial" w:eastAsia="Arial" w:hAnsi="Arial"/>
          <w:b w:val="false"/>
          <w:bCs w:val="false"/>
          <w:i w:val="false"/>
          <w:iCs w:val="false"/>
          <w:sz w:val="22"/>
          <w:szCs w:val="22"/>
          <w:rtl/>
        </w:rPr>
        <w:t xml:space="preserve">هذه الوثيقة تُسلَّم لدور المعماري التقني لترجمتها إلى مواصفات تنفيذية دقيقة، وأبرز البنود التي تحتاج عملاً تقنياً جديداً:</w:t>
      </w:r>
    </w:p>
    <w:p>
      <w:pPr>
        <w:bidi/>
        <w:spacing w:after="100"/>
        <w:ind w:start="360"/>
        <w:jc w:val="right"/>
      </w:pPr>
      <w:r>
        <w:rPr>
          <w:rFonts w:ascii="Arial" w:cs="Arial" w:eastAsia="Arial" w:hAnsi="Arial"/>
          <w:b w:val="false"/>
          <w:bCs w:val="false"/>
          <w:sz w:val="22"/>
          <w:szCs w:val="22"/>
          <w:rtl/>
        </w:rPr>
        <w:t xml:space="preserve">حساب نسبة الالتزام الفعلية بكل سياسة (المُقرّون / المطلوب منهم الإقرار)، وهو عمل تقني معلّق فعلياً في الكود الحالي  -</w:t>
      </w:r>
    </w:p>
    <w:p>
      <w:pPr>
        <w:bidi/>
        <w:spacing w:after="100"/>
        <w:ind w:start="360"/>
        <w:jc w:val="right"/>
      </w:pPr>
      <w:r>
        <w:rPr>
          <w:rFonts w:ascii="Arial" w:cs="Arial" w:eastAsia="Arial" w:hAnsi="Arial"/>
          <w:b w:val="false"/>
          <w:bCs w:val="false"/>
          <w:sz w:val="22"/>
          <w:szCs w:val="22"/>
          <w:rtl/>
        </w:rPr>
        <w:t xml:space="preserve">إضافة حالة حساب "بانتظار الإقرار" وربطها بمنطق منح الصلاحيات عند الإنشاء أو الترقية  -</w:t>
      </w:r>
    </w:p>
    <w:p>
      <w:pPr>
        <w:bidi/>
        <w:spacing w:after="100"/>
        <w:ind w:start="360"/>
        <w:jc w:val="right"/>
      </w:pPr>
      <w:r>
        <w:rPr>
          <w:rFonts w:ascii="Arial" w:cs="Arial" w:eastAsia="Arial" w:hAnsi="Arial"/>
          <w:b w:val="false"/>
          <w:bCs w:val="false"/>
          <w:sz w:val="22"/>
          <w:szCs w:val="22"/>
          <w:rtl/>
        </w:rPr>
        <w:t xml:space="preserve">إضافة تمييز تقني لأعضاء لجنة الامتثال والجودة وجهة الاعتماد التنفيذي، بدل الاعتماد الكامل على الفصل الإجرائي وحده  -</w:t>
      </w:r>
    </w:p>
    <w:p>
      <w:pPr>
        <w:bidi/>
        <w:spacing w:after="100"/>
        <w:ind w:start="360"/>
        <w:jc w:val="right"/>
      </w:pPr>
      <w:r>
        <w:rPr>
          <w:rFonts w:ascii="Arial" w:cs="Arial" w:eastAsia="Arial" w:hAnsi="Arial"/>
          <w:b w:val="false"/>
          <w:bCs w:val="false"/>
          <w:sz w:val="22"/>
          <w:szCs w:val="22"/>
          <w:rtl/>
        </w:rPr>
        <w:t xml:space="preserve">تنفيذ الحد الأدنى من مصفوفة الأدوار والسياسات الإلزامية الواردة في القسم الخامس كبيانات تأسيسية عند إعداد كل شركة جديدة، أو كخطوة إعداد يدوية موثّقة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2026-08-24T09:08:54.746Z</dcterms:created>
  <dcterms:modified xsi:type="dcterms:W3CDTF">2026-08-24T09:08:54.746Z</dcterms:modified>
</cp:coreProperties>
</file>

<file path=docProps/custom.xml><?xml version="1.0" encoding="utf-8"?>
<Properties xmlns="http://schemas.openxmlformats.org/officeDocument/2006/custom-properties" xmlns:vt="http://schemas.openxmlformats.org/officeDocument/2006/docPropsVTypes"/>
</file>