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lvetica" w:hAnsi="Helvetica" w:eastAsia="Helvetica" w:cs="Helvetica"/>
          <w:b/>
          <w:color w:val="0F6B5A"/>
          <w:sz w:val="16"/>
        </w:rPr>
      </w:r>
      <w:r>
        <w:rPr>
          <w:rFonts w:ascii="Helvetica" w:hAnsi="Helvetica" w:eastAsia="Helvetica" w:cs="Helvetica"/>
        </w:rPr>
        <w:t>APPLICATION GUIDE</w:t>
      </w:r>
    </w:p>
    <w:p>
      <w:pPr>
        <w:pStyle w:val="Title"/>
        <w:spacing w:after="100"/>
      </w:pPr>
      <w:r>
        <w:rPr>
          <w:rFonts w:ascii="Helvetica" w:hAnsi="Helvetica" w:eastAsia="Helvetica" w:cs="Helvetica"/>
          <w:b/>
          <w:color w:val="0B1220"/>
          <w:sz w:val="58"/>
        </w:rPr>
      </w:r>
      <w:r>
        <w:rPr>
          <w:rFonts w:ascii="Helvetica" w:hAnsi="Helvetica" w:eastAsia="Helvetica" w:cs="Helvetica"/>
        </w:rPr>
        <w:t>Job Application Tailoring</w:t>
      </w:r>
    </w:p>
    <w:p>
      <w:pPr>
        <w:spacing w:after="160"/>
      </w:pPr>
      <w:r>
        <w:rPr>
          <w:rFonts w:ascii="Helvetica" w:hAnsi="Helvetica" w:eastAsia="Helvetica" w:cs="Helvetica"/>
          <w:b w:val="0"/>
          <w:color w:val="5A6475"/>
          <w:sz w:val="20"/>
        </w:rPr>
      </w:r>
      <w:r>
        <w:rPr>
          <w:rFonts w:ascii="Helvetica" w:hAnsi="Helvetica" w:eastAsia="Helvetica" w:cs="Helvetica"/>
        </w:rPr>
        <w:t>A repeatable vacancy-by-vacancy workflow. Use this before submitting the resume anywhere.</w:t>
      </w:r>
    </w:p>
    <w:p>
      <w:pPr>
        <w:spacing w:before="20" w:after="140"/>
        <w:pBdr>
          <w:bottom w:val="single" w:sz="6" w:space="1" w:color="D9E1E8"/>
        </w:pBdr>
      </w:pPr>
    </w:p>
    <w:p>
      <w:pPr>
        <w:pStyle w:val="Heading1"/>
      </w:pPr>
      <w:r>
        <w:rPr>
          <w:rFonts w:ascii="Helvetica" w:hAnsi="Helvetica" w:eastAsia="Helvetica" w:cs="Helvetica"/>
        </w:rPr>
        <w:t>The 15-minute evidence-first tailoring workflow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1 — Knockouts first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Read location, work authorization, years, degree, certification, security-clearance and schedule requirements before doing any writing.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2 — Extract the top 8 requirements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Mark each Critical / High / Preferred. Preserve the employer’s exact terminology.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3 — Map evidence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For each requirement, identify employment evidence, project evidence, transferable evidence or a real gap. Do not fill gaps with keywords.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4 — Rewrite summary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Use the target identity + 3–5 strongest supported requirements + one differentiator + business context.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5 — Reorder core skills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Put the vacancy’s critical supported terms first. Remove irrelevant terms when space is tight.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6 — Select projects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Use 2–4 projects that map directly to the vacancy. Customer-assurance role ≠ same project mix as AI-governance role.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7 — Rewrite bullets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Action + relevant skill/framework + concrete artifact/scope + business relevance. Never add unsupported percentage/revenue outcomes.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8 — Choose one portfolio artifact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Give the reviewer the single most relevant proof first.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9 — Cover letter decision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Write only if it can add company-specific reasoning, explain fit/transition, or direct attention to evidence.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10 — Consistency check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Resume, LinkedIn, portfolio and form must agree on titles, dates, education status, location and claims.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11 — Parsing check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Copy the final resume into plain text; inspect field order and section headings.</w:t>
      </w:r>
    </w:p>
    <w:p>
      <w:pPr>
        <w:keepNext/>
      </w:pPr>
      <w:r>
        <w:rPr>
          <w:rFonts w:ascii="Helvetica" w:hAnsi="Helvetica" w:eastAsia="Helvetica" w:cs="Helvetica"/>
          <w:b/>
          <w:color w:val="0F6B5A"/>
          <w:sz w:val="22"/>
        </w:rPr>
        <w:t>12 — Final red-team</w:t>
      </w:r>
    </w:p>
    <w:p>
      <w:pPr>
        <w:ind w:left="259"/>
      </w:pPr>
      <w:r>
        <w:rPr>
          <w:rFonts w:ascii="Helvetica" w:hAnsi="Helvetica" w:eastAsia="Helvetica" w:cs="Helvetica"/>
          <w:b w:val="0"/>
          <w:color w:val="172033"/>
          <w:sz w:val="19"/>
        </w:rPr>
        <w:t>Ask: what would make me reject this candidate? Fix controllable issues; do not disguise uncontrollable hard blockers.</w:t>
      </w:r>
    </w:p>
    <w:p>
      <w:pPr>
        <w:pStyle w:val="Heading1"/>
      </w:pPr>
      <w:r>
        <w:rPr>
          <w:rFonts w:ascii="Helvetica" w:hAnsi="Helvetica" w:eastAsia="Helvetica" w:cs="Helvetica"/>
        </w:rPr>
        <w:t>Role-family project selection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880"/>
            <w:shd w:fill="0B1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6"/>
              </w:rPr>
              <w:t>Target role family</w:t>
            </w:r>
          </w:p>
        </w:tc>
        <w:tc>
          <w:tcPr>
            <w:tcW w:type="dxa" w:w="2880"/>
            <w:shd w:fill="0B1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6"/>
              </w:rPr>
              <w:t>Lead with</w:t>
            </w:r>
          </w:p>
        </w:tc>
        <w:tc>
          <w:tcPr>
            <w:tcW w:type="dxa" w:w="2880"/>
            <w:shd w:fill="0B1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6"/>
              </w:rPr>
              <w:t>Secondary proof</w:t>
            </w:r>
          </w:p>
        </w:tc>
        <w:tc>
          <w:tcPr>
            <w:tcW w:type="dxa" w:w="2880"/>
            <w:shd w:fill="0B12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/>
                <w:color w:val="FFFFFF"/>
                <w:sz w:val="16"/>
              </w:rPr>
              <w:t>Avoid overclaiming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GRC / Security Compliance Analyst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Control Assurance &amp; Continuous Audit Operations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Enterprise Assurance Architecture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External audit leadership, certification ownership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Technology Risk Analyst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Executive Risk &amp; KRI Decision System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Control Evidence + TPRM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Enterprise risk ownership if not employed in it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TPRM / Vendor Risk Analyst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Third-Party Risk Decision System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GDPR Article 28 Processor Governance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Live vendor decisions / company vendor counts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AI Governance Analyst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AI Governance Decision Register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Article 50 + Shadow AI standard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Production AI governance ownership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Customer / Trust Assurance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25-question customer-assurance knowledge base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Control/evidence architecture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Closed-deal acceleration metrics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Technical GRC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Control/evidence architecture + portfolio code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Python automation repo once built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5F8FA"/>
            <w:tcBorders>
              <w:bottom w:val="single" w:sz="4" w:color="E3E8EE"/>
            </w:tcBorders>
          </w:tcPr>
          <w:p>
            <w:pPr>
              <w:spacing w:after="0"/>
            </w:pPr>
            <w:r>
              <w:rPr>
                <w:rFonts w:ascii="Helvetica" w:hAnsi="Helvetica" w:eastAsia="Helvetica" w:cs="Helvetica"/>
                <w:b w:val="0"/>
                <w:color w:val="172033"/>
                <w:sz w:val="16"/>
              </w:rPr>
              <w:t>Cloud/GRC platform skill until demonstrated</w:t>
            </w:r>
          </w:p>
        </w:tc>
      </w:tr>
    </w:tbl>
    <w:p>
      <w:pPr>
        <w:pStyle w:val="Heading1"/>
      </w:pPr>
      <w:r>
        <w:rPr>
          <w:rFonts w:ascii="Helvetica" w:hAnsi="Helvetica" w:eastAsia="Helvetica" w:cs="Helvetica"/>
        </w:rPr>
        <w:t>Filename and submission standard</w:t>
      </w:r>
    </w:p>
    <w:p>
      <w:pPr>
        <w:spacing w:after="44"/>
        <w:ind w:left="216" w:hanging="173"/>
      </w:pPr>
      <w:r>
        <w:rPr>
          <w:rFonts w:ascii="Helvetica" w:hAnsi="Helvetica" w:eastAsia="Helvetica" w:cs="Helvetica"/>
          <w:b/>
          <w:color w:val="0F6B5A"/>
          <w:sz w:val="19"/>
        </w:rPr>
      </w:r>
      <w:r>
        <w:rPr>
          <w:rFonts w:ascii="Helvetica" w:hAnsi="Helvetica" w:eastAsia="Helvetica" w:cs="Helvetica"/>
          <w:b w:val="0"/>
          <w:color w:val="172033"/>
          <w:sz w:val="19"/>
        </w:rPr>
      </w:r>
      <w:r>
        <w:rPr>
          <w:rFonts w:ascii="Helvetica" w:hAnsi="Helvetica" w:eastAsia="Helvetica" w:cs="Helvetica"/>
        </w:rPr>
        <w:t>•  Base file: Md_Abdullah_Al_Owasi_Resume.docx</w:t>
      </w:r>
    </w:p>
    <w:p>
      <w:pPr>
        <w:spacing w:after="44"/>
        <w:ind w:left="216" w:hanging="173"/>
      </w:pPr>
      <w:r>
        <w:rPr>
          <w:rFonts w:ascii="Helvetica" w:hAnsi="Helvetica" w:eastAsia="Helvetica" w:cs="Helvetica"/>
          <w:b/>
          <w:color w:val="0F6B5A"/>
          <w:sz w:val="19"/>
        </w:rPr>
        <w:t xml:space="preserve">•  </w:t>
      </w:r>
      <w:r>
        <w:rPr>
          <w:rFonts w:ascii="Helvetica" w:hAnsi="Helvetica" w:eastAsia="Helvetica" w:cs="Helvetica"/>
          <w:b w:val="0"/>
          <w:color w:val="172033"/>
          <w:sz w:val="19"/>
        </w:rPr>
        <w:t>Tailored example: Md_Abdullah_Al_Owasi_GRC_Analyst_Company.docx</w:t>
      </w:r>
    </w:p>
    <w:p>
      <w:pPr>
        <w:spacing w:after="44"/>
        <w:ind w:left="216" w:hanging="173"/>
      </w:pPr>
      <w:r>
        <w:rPr>
          <w:rFonts w:ascii="Helvetica" w:hAnsi="Helvetica" w:eastAsia="Helvetica" w:cs="Helvetica"/>
          <w:b/>
          <w:color w:val="0F6B5A"/>
          <w:sz w:val="19"/>
        </w:rPr>
        <w:t xml:space="preserve">•  </w:t>
      </w:r>
      <w:r>
        <w:rPr>
          <w:rFonts w:ascii="Helvetica" w:hAnsi="Helvetica" w:eastAsia="Helvetica" w:cs="Helvetica"/>
          <w:b w:val="0"/>
          <w:color w:val="172033"/>
          <w:sz w:val="19"/>
        </w:rPr>
        <w:t>If a portal requires PDF, export a copy from Word after the DOCX is final; do not maintain two divergent masters.</w:t>
      </w:r>
    </w:p>
    <w:p>
      <w:pPr>
        <w:spacing w:after="44"/>
        <w:ind w:left="216" w:hanging="173"/>
      </w:pPr>
      <w:r>
        <w:rPr>
          <w:rFonts w:ascii="Helvetica" w:hAnsi="Helvetica" w:eastAsia="Helvetica" w:cs="Helvetica"/>
          <w:b/>
          <w:color w:val="0F6B5A"/>
          <w:sz w:val="19"/>
        </w:rPr>
        <w:t xml:space="preserve">•  </w:t>
      </w:r>
      <w:r>
        <w:rPr>
          <w:rFonts w:ascii="Helvetica" w:hAnsi="Helvetica" w:eastAsia="Helvetica" w:cs="Helvetica"/>
          <w:b w:val="0"/>
          <w:color w:val="172033"/>
          <w:sz w:val="19"/>
        </w:rPr>
        <w:t>Keep a copy of the exact resume and answers submitted for every application.</w:t>
      </w:r>
    </w:p>
    <w:sectPr w:rsidR="00FC693F" w:rsidRPr="0006063C" w:rsidSect="00034616">
      <w:pgSz w:w="12240" w:h="15840"/>
      <w:pgMar w:top="835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Helvetica" w:hAnsi="Helvetica" w:eastAsia="Helvetica" w:cs="Helvetica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elvetica" w:hAnsi="Helvetica" w:eastAsia="Helvetica" w:cs="Helvetic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eastAsia="Helvetica" w:cs="Helvetic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" w:hAnsi="Helvetica" w:eastAsia="Helvetica" w:cs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7100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Helvetica" w:hAnsi="Helvetica" w:eastAsia="Helvetica" w:cs="Helvetica"/>
      <w:b/>
      <w:bCs/>
      <w:color w:val="115E5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elvetica" w:hAnsi="Helvetica" w:eastAsia="Helvetica" w:cs="Helvetica"/>
    </w:rPr>
  </w:style>
  <w:style w:type="table" w:default="1" w:styleId="TableNormal">
    <w:name w:val="Normal Table"/>
    <w:uiPriority w:val="99"/>
    <w:semiHidden/>
    <w:unhideWhenUsed/>
    <w:rPr>
      <w:rFonts w:ascii="Helvetica" w:hAnsi="Helvetica" w:eastAsia="Helvetica" w:cs="Helvetic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lvetica" w:hAnsi="Helvetica" w:eastAsia="Helvetica" w:cs="Helvetic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Helvetica" w:hAnsi="Helvetica" w:eastAsia="Helvetica" w:cs="Helvetica"/>
      <w:b/>
      <w:color w:val="07100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elvetica" w:hAnsi="Helvetica" w:eastAsia="Helvetica" w:cs="Helvetic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lvetica" w:hAnsi="Helvetica" w:eastAsia="Helvetica" w:cs="Helvetic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 w:eastAsia="Helvetica" w:cs="Helvetic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elvetica" w:hAnsi="Helvetica" w:eastAsia="Helvetica" w:cs="Helvetic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lvetica" w:hAnsi="Helvetica" w:eastAsia="Helvetica" w:cs="Helvetic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elvetica" w:hAnsi="Helvetica" w:eastAsia="Helvetica" w:cs="Helvetic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lvetica" w:hAnsi="Helvetica" w:eastAsia="Helvetica" w:cs="Helvetic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elvetica" w:hAnsi="Helvetica" w:eastAsia="Helvetica" w:cs="Helvetic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lvetica" w:hAnsi="Helvetica" w:eastAsia="Helvetica" w:cs="Helvetic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lvetica" w:hAnsi="Helvetica" w:eastAsia="Helvetica" w:cs="Helvetic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lvetica" w:hAnsi="Helvetica" w:eastAsia="Helvetica" w:cs="Helvetic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" w:hAnsi="Helvetica" w:eastAsia="Helvetica" w:cs="Helvetic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lvetica" w:hAnsi="Helvetica" w:eastAsia="Helvetica" w:cs="Helvetic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lvetica" w:hAnsi="Helvetica" w:eastAsia="Helvetica" w:cs="Helvetic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lvetica" w:hAnsi="Helvetica" w:eastAsia="Helvetica" w:cs="Helvetic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lvetica" w:hAnsi="Helvetica" w:eastAsia="Helvetica" w:cs="Helvetic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lvetica" w:hAnsi="Helvetica" w:eastAsia="Helvetica" w:cs="Helvetic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lvetica" w:hAnsi="Helvetica" w:eastAsia="Helvetica" w:cs="Helvetic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lvetica" w:hAnsi="Helvetica" w:eastAsia="Helvetica" w:cs="Helvetic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lvetica" w:hAnsi="Helvetica" w:eastAsia="Helvetica" w:cs="Helvetic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" w:hAnsi="Helvetica" w:eastAsia="Helvetica" w:cs="Helvetic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" w:hAnsi="Helvetica" w:eastAsia="Helvetica" w:cs="Helvetic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elvetica" w:hAnsi="Helvetica" w:eastAsia="Helvetica" w:cs="Helvetic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elvetica" w:hAnsi="Helvetica" w:eastAsia="Helvetica" w:cs="Helvetic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lvetica" w:hAnsi="Helvetica" w:eastAsia="Helvetica" w:cs="Helvetic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elvetica" w:hAnsi="Helvetica" w:eastAsia="Helvetica" w:cs="Helvetic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elvetica" w:hAnsi="Helvetica" w:eastAsia="Helvetica" w:cs="Helvetic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elvetica" w:hAnsi="Helvetica" w:eastAsia="Helvetica" w:cs="Helvetic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elvetica" w:hAnsi="Helvetica" w:eastAsia="Helvetica" w:cs="Helvetic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elvetica" w:hAnsi="Helvetica" w:eastAsia="Helvetica" w:cs="Helvetic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elvetica" w:hAnsi="Helvetica" w:eastAsia="Helvetica" w:cs="Helvetic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elvetica" w:hAnsi="Helvetica" w:eastAsia="Helvetica" w:cs="Helvetic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lvetica" w:hAnsi="Helvetica" w:eastAsia="Helvetica" w:cs="Helvetic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" w:hAnsi="Helvetica" w:eastAsia="Helvetica" w:cs="Helveti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elvetica" w:hAnsi="Helvetica" w:eastAsia="Helvetica" w:cs="Helvetic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elvetica" w:hAnsi="Helvetica" w:eastAsia="Helvetica" w:cs="Helvetic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elvetica" w:hAnsi="Helvetica" w:eastAsia="Helvetica" w:cs="Helvetic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elvetica" w:hAnsi="Helvetica" w:eastAsia="Helvetica" w:cs="Helvetic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