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Helvetica" w:hAnsi="Helvetica" w:eastAsia="Helvetica" w:cs="Helvetica"/>
          <w:b/>
          <w:color w:val="0F6B5A"/>
          <w:sz w:val="16"/>
        </w:rPr>
      </w:r>
      <w:r>
        <w:rPr>
          <w:rFonts w:ascii="Helvetica" w:hAnsi="Helvetica" w:eastAsia="Helvetica" w:cs="Helvetica"/>
        </w:rPr>
        <w:t>APPLICATION STRATEGY</w:t>
      </w:r>
    </w:p>
    <w:p>
      <w:pPr>
        <w:pStyle w:val="Title"/>
        <w:spacing w:after="100"/>
      </w:pPr>
      <w:r>
        <w:rPr>
          <w:rFonts w:ascii="Helvetica" w:hAnsi="Helvetica" w:eastAsia="Helvetica" w:cs="Helvetica"/>
          <w:b/>
          <w:color w:val="0B1220"/>
          <w:sz w:val="58"/>
        </w:rPr>
      </w:r>
      <w:r>
        <w:rPr>
          <w:rFonts w:ascii="Helvetica" w:hAnsi="Helvetica" w:eastAsia="Helvetica" w:cs="Helvetica"/>
        </w:rPr>
        <w:t>Candidate Audit &amp; Application Strategy</w:t>
      </w:r>
    </w:p>
    <w:p>
      <w:pPr>
        <w:spacing w:after="160"/>
      </w:pPr>
      <w:r>
        <w:rPr>
          <w:rFonts w:ascii="Helvetica" w:hAnsi="Helvetica" w:eastAsia="Helvetica" w:cs="Helvetica"/>
          <w:b w:val="0"/>
          <w:color w:val="5A6475"/>
          <w:sz w:val="20"/>
        </w:rPr>
      </w:r>
      <w:r>
        <w:rPr>
          <w:rFonts w:ascii="Helvetica" w:hAnsi="Helvetica" w:eastAsia="Helvetica" w:cs="Helvetica"/>
        </w:rPr>
        <w:t>This is a role-family baseline because no single target vacancy was supplied. Re-run the same framework against each real job description before submitting.</w:t>
      </w:r>
    </w:p>
    <w:p>
      <w:pPr>
        <w:spacing w:before="20" w:after="140"/>
        <w:pBdr>
          <w:bottom w:val="single" w:sz="6" w:space="1" w:color="D9E1E8"/>
        </w:pBdr>
      </w:pPr>
    </w:p>
    <w:p>
      <w:pPr>
        <w:pStyle w:val="Heading1"/>
      </w:pPr>
      <w:r>
        <w:rPr>
          <w:rFonts w:ascii="Helvetica" w:hAnsi="Helvetica" w:eastAsia="Helvetica" w:cs="Helvetica"/>
        </w:rPr>
        <w:t>1. EXECUTIVE VERDICT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The portfolio is unusually strong as demonstrable evidence for GRC / Technology Risk / TPRM / AI Governance analyst-family roles, especially where employers value control evidence, risk registers, AI inventories, customer assurance and technical fluency.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The package is not a legitimate substitute for explicit years-of-professional-experience, external-audit leadership, work authorization, completed certifications, or hands-on GRC-platform requirements. Those remain vacancy-specific filters.</w:t>
      </w:r>
    </w:p>
    <w:p>
      <w:pPr>
        <w:pStyle w:val="Heading1"/>
      </w:pPr>
      <w:r>
        <w:rPr>
          <w:rFonts w:ascii="Helvetica" w:hAnsi="Helvetica" w:eastAsia="Helvetica" w:cs="Helvetica"/>
        </w:rPr>
        <w:t>2. HARD BLOCKERS</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Experience thresholds: current postings range from 1–2 years at Checkout.com’s Information Security Analyst level to 3–5 years at Ivo/Primer and 5+ years at senior Checkout.com GRC. Apply only when your real history can satisfy or reasonably compete with the stated threshold.</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External audit ownership: do not claim assessor coordination, walkthrough leadership, findings closure or certification ownership unless you have done it professionally.</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Work authorization/location: evaluate each vacancy before tailoring. “Open to opportunities” is not the same as being authorized to work everywhere.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Completed degree/certification status: keep the SEGi program status and any credentials exactly as documented.</w:t>
      </w:r>
    </w:p>
    <w:p>
      <w:pPr>
        <w:pStyle w:val="Heading1"/>
      </w:pPr>
      <w:r>
        <w:rPr>
          <w:rFonts w:ascii="Helvetica" w:hAnsi="Helvetica" w:eastAsia="Helvetica" w:cs="Helvetica"/>
        </w:rPr>
        <w:t>3. JOB REQUIREMENT INTELLIGENCE MAP</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Critical global requirements: Governance, Risk and Compliance (GRC); control evidence; audit readiness; risk assessments/registers; remediation; TPRM; policies/standards; stakeholder communication.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AI-governance roles add: AI inventory, AI risk assessment, NIST AI RMF, ISO/IEC 42001, EU AI Act, responsible-use guidance and monitoring.</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Technical GRC roles often add: cloud context, scripting/automation, engineering communication and tools such as Vanta, Drata, OneTrust or ServiceNow GRC.</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Customer-assurance roles add: security questionnaires, reusable evidence libraries, customer-facing judgment, caveats/escalation and sometimes contract/security exhibit work.</w:t>
      </w:r>
    </w:p>
    <w:p>
      <w:pPr>
        <w:pStyle w:val="Heading1"/>
      </w:pPr>
      <w:r>
        <w:rPr>
          <w:rFonts w:ascii="Helvetica" w:hAnsi="Helvetica" w:eastAsia="Helvetica" w:cs="Helvetica"/>
        </w:rPr>
        <w:t>4. REQUIREMENT-TO-EVIDENCE MATRIX</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Use the included Global_Hiring_Evidence_Matrix.xlsx. The strongest mapped evidence is in GRC, control/evidence architecture, TPRM, AI governance, customer assurance, risk registers and framework application. The material gaps are professional audit ownership, hands-on GRC platforms, cloud evidence and role-specific experience thresholds.</w:t>
      </w:r>
    </w:p>
    <w:p>
      <w:pPr>
        <w:pStyle w:val="Heading1"/>
      </w:pPr>
      <w:r>
        <w:rPr>
          <w:rFonts w:ascii="Helvetica" w:hAnsi="Helvetica" w:eastAsia="Helvetica" w:cs="Helvetica"/>
        </w:rPr>
        <w:t>5. KEYWORD AND SKILL ARCHITECTURE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1: GRC; Technology Risk; TPRM; control evidence; audit readiness; risk register; risk treatment; remediation; AI governance.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2: ISO/IEC 27001; SOC 2 TSC; NIST AI RMF; ISO/IEC 42001; EU AI Act; GDPR Article 28.</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3: customer security assurance; security questionnaires; policies/standards/procedures; exception management; KRIs; executive reporting; stakeholder communication.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4: Python; SQL; TypeScript; Git/GitHub. Add cloud/GRC platforms only after real hands-on evidence exists.</w:t>
      </w:r>
    </w:p>
    <w:p>
      <w:pPr>
        <w:pStyle w:val="Heading1"/>
      </w:pPr>
      <w:r>
        <w:rPr>
          <w:rFonts w:ascii="Helvetica" w:hAnsi="Helvetica" w:eastAsia="Helvetica" w:cs="Helvetica"/>
        </w:rPr>
        <w:t>6. FINAL ATS-SAFE RESUME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Use Md_Abdullah_Al_Owasi_Global_ATS_Master_Resume.docx as the master. For each vacancy, change the professional summary, core-skill order and selected project bullets—not factual history. Keep single-column, ordinary headings and selectable text.</w:t>
      </w:r>
    </w:p>
    <w:p>
      <w:pPr>
        <w:pStyle w:val="Heading1"/>
      </w:pPr>
      <w:r>
        <w:rPr>
          <w:rFonts w:ascii="Helvetica" w:hAnsi="Helvetica" w:eastAsia="Helvetica" w:cs="Helvetica"/>
        </w:rPr>
        <w:t>7. COVER LETTER</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Use the cover letter only when the employer accepts it or when a specific company/role story adds value. The included master forces you to connect one employer problem to one or two evidence artifacts rather than restating the resume.</w:t>
      </w:r>
    </w:p>
    <w:p>
      <w:pPr>
        <w:pStyle w:val="Heading1"/>
      </w:pPr>
      <w:r>
        <w:rPr>
          <w:rFonts w:ascii="Helvetica" w:hAnsi="Helvetica" w:eastAsia="Helvetica" w:cs="Helvetica"/>
        </w:rPr>
        <w:t>8. LINKEDIN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Headline: Technology Risk &amp; AI Governance | GRC · TPRM · Security Compliance | NIST AI RMF · ISO 27001 · SOC 2 · ISO 42001 | Evidence Architecture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About: I build governance systems that make technology risk inspectable. My portfolio connects requirement → control → evidence → exception → residual risk → decision across control assurance, third-party risk, customer security diligence and AI governance. The evidence includes 10 governance systems, 15 AI use cases, a 20-question vendor-risk model, a 25-question customer-assurance knowledge base and control/risk registers that can be reviewed directly. I work across NIST AI RMF, ISO/IEC 27001, SOC 2 TSC, ISO/IEC 42001, EU AI Act transparency concepts and GDPR Article 28, supported by a Computer Science foundation in structured data, automation and systems thinking.</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Featured: portfolio homepage; executive governance portfolio DOCX; Hiring Evidence Matrix or a flagship project artifact; GitHub only if the repository README and code are review-ready.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Do not create a fake “Governance Architect” employment entry for self-directed work. Put portfolio work in Projects/Featured unless it was real employment.</w:t>
      </w:r>
    </w:p>
    <w:p>
      <w:pPr>
        <w:pStyle w:val="Heading1"/>
      </w:pPr>
      <w:r>
        <w:rPr>
          <w:rFonts w:ascii="Helvetica" w:hAnsi="Helvetica" w:eastAsia="Helvetica" w:cs="Helvetica"/>
        </w:rPr>
        <w:t>9. PORTFOLIO WEBSITE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Hero must answer identity, specialization, value, proof and action in one screen. The current build does that while keeping the existing emerald/cyan identity.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Prioritize three flagship systems before the ten-system catalogue: Enterprise Assurance Evidence Fabric, AI Governance Decision Register and Third-Party Risk Decision Engine.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Keep major information as selectable HTML text. Avoid moving ATS/recruiter-critical information into images.</w:t>
      </w:r>
    </w:p>
    <w:p>
      <w:pPr>
        <w:pStyle w:val="Heading1"/>
      </w:pPr>
      <w:r>
        <w:rPr>
          <w:rFonts w:ascii="Helvetica" w:hAnsi="Helvetica" w:eastAsia="Helvetica" w:cs="Helvetica"/>
        </w:rPr>
        <w:t>10. FLAGSHIP PROJECT / CASE-STUDY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Every flagship case study should explicitly state: problem, scope, method, framework/tool, deliverables, evidence, business relevance, trade-offs/limitations and what would change in a real enterprise environment.</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Best next artifact: a small cloud-control evidence lab that demonstrates IAM, logging, encryption, configuration evidence and risk treatment in AWS/Azure/GCP. This addresses a repeated current hiring-market gap.</w:t>
      </w:r>
    </w:p>
    <w:p>
      <w:pPr>
        <w:pStyle w:val="Heading1"/>
      </w:pPr>
      <w:r>
        <w:rPr>
          <w:rFonts w:ascii="Helvetica" w:hAnsi="Helvetica" w:eastAsia="Helvetica" w:cs="Helvetica"/>
        </w:rPr>
        <w:t>11. PDF / WORK-SAMPLE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No PDFs are included in this package because editability was requested. DOCX is the editable master for resume, cover letter, portfolio and strategy documents. XLSX remains the editable format for evidence matrices/workbooks.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When an employer explicitly requires PDF, export a copy from the validated DOCX without changing content.</w:t>
      </w:r>
    </w:p>
    <w:p>
      <w:pPr>
        <w:pStyle w:val="Heading1"/>
      </w:pPr>
      <w:r>
        <w:rPr>
          <w:rFonts w:ascii="Helvetica" w:hAnsi="Helvetica" w:eastAsia="Helvetica" w:cs="Helvetica"/>
        </w:rPr>
        <w:t>12. GITHUB / REPOSITORY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Create one flagship governance-automation repository only when the code genuinely demonstrates something useful. README: business problem, architecture, setup, sample data, validation/tests, security considerations, limitations and screenshots.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Do not expose secrets, API keys, personal data or generated artifacts with unsupported claims.</w:t>
      </w:r>
    </w:p>
    <w:p>
      <w:pPr>
        <w:pStyle w:val="Heading1"/>
      </w:pPr>
      <w:r>
        <w:rPr>
          <w:rFonts w:ascii="Helvetica" w:hAnsi="Helvetica" w:eastAsia="Helvetica" w:cs="Helvetica"/>
        </w:rPr>
        <w:t>13. APPLICATION-FORM GUIDANCE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Copy titles, dates, education status and location from the resume exactly. Do not “upgrade” fields to match a vacancy.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Answer work authorization, sponsorship, years of experience, certification and degree-completion knockout questions literally and consistently.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Where a form asks for experience but allows text, distinguish professional experience from portfolio/project evidence.</w:t>
      </w:r>
    </w:p>
    <w:p>
      <w:pPr>
        <w:pStyle w:val="Heading1"/>
      </w:pPr>
      <w:r>
        <w:rPr>
          <w:rFonts w:ascii="Helvetica" w:hAnsi="Helvetica" w:eastAsia="Helvetica" w:cs="Helvetica"/>
        </w:rPr>
        <w:t>14. OUTREACH MESSAGES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Recruiter: I’m targeting Technology Risk / GRC roles where control evidence, TPRM or AI governance matter. I built an inspectable governance portfolio around requirement → control → evidence → residual-risk decisions. For [ROLE], the closest artifact is [LINK/ARTIFACT]. If the experience/authorization requirements line up, I’d value your read on fit.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Hiring manager: Your [ROLE] emphasizes [REQUIREMENT]. I built [SPECIFIC ARTIFACT] around the same operating problem: [1-SENTENCE RELEVANCE]. I’m sharing that one artifact rather than a generic portfolio because it shows exactly how I structure the work.</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Referral: I’m considering [ROLE] at [COMPANY]. Before asking for a referral, I want to make the evidence easy to judge: [ARTIFACT] maps directly to [REQUIREMENT]. If you think the fit is real after looking at it, would you be comfortable referring me?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Executive: Use only when genuinely relevant. One short note: problem → evidence → why this company → low-friction next step. No “skip the interview” or entitlement language.</w:t>
      </w:r>
    </w:p>
    <w:p>
      <w:pPr>
        <w:pStyle w:val="Heading1"/>
      </w:pPr>
      <w:r>
        <w:rPr>
          <w:rFonts w:ascii="Helvetica" w:hAnsi="Helvetica" w:eastAsia="Helvetica" w:cs="Helvetica"/>
        </w:rPr>
        <w:t>15. REJECTION-RISK REGISTER</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See the spreadsheet Rejection Risks sheet. P0 risks are experience/eligibility mismatch, false degree/certification status, fake metrics, broken links and generic untailored applications. P1 risks are missing platform/cloud evidence and portfolio density.</w:t>
      </w:r>
    </w:p>
    <w:p>
      <w:pPr>
        <w:pStyle w:val="Heading1"/>
      </w:pPr>
      <w:r>
        <w:rPr>
          <w:rFonts w:ascii="Helvetica" w:hAnsi="Helvetica" w:eastAsia="Helvetica" w:cs="Helvetica"/>
        </w:rPr>
        <w:t>16. MACHINE-READABILITY AUDIT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Resume design: one column; no tables; no images; no icons carrying information; no text boxes; contact information in the body; standard headings; selectable text; DOCX.</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Plain-text order: Name → target identity/contact → Professional Summary → Core Skills → Selected Governance Projects → Technical Systems → Education.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Manual verification: in Word, Save As Plain Text or copy all into a plain-text editor and confirm the reading order and section labels remain understandable. Upload a test copy to any employer portal only if you are actually applying; inspect parsed fields before submission.</w:t>
      </w:r>
    </w:p>
    <w:p>
      <w:pPr>
        <w:pStyle w:val="Heading1"/>
      </w:pPr>
      <w:r>
        <w:rPr>
          <w:rFonts w:ascii="Helvetica" w:hAnsi="Helvetica" w:eastAsia="Helvetica" w:cs="Helvetica"/>
        </w:rPr>
        <w:t>17. DIAGNOSTIC SCORES</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analyst-family baseline (diagnostic estimates, not employer ATS scores): Requirement Coverage 76/100; Critical Requirement Coverage 64/100; Terminology Alignment 94/100; Evidence Strength 86/100; Machine Readability 99/100; Human Readability 94/100; Portfolio Proof 93/100; Consistency 97/100; Competitive Differentiation 91/100.</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Points are lost primarily for professional experience thresholds, real external-audit ownership, GRC-platform exposure, cloud evidence and unknown jurisdiction-specific authorization. For senior/lead roles requiring 5+ years, critical coverage is substantially lower regardless of portfolio quality.</w:t>
      </w:r>
    </w:p>
    <w:p>
      <w:pPr>
        <w:pStyle w:val="Heading1"/>
      </w:pPr>
      <w:r>
        <w:rPr>
          <w:rFonts w:ascii="Helvetica" w:hAnsi="Helvetica" w:eastAsia="Helvetica" w:cs="Helvetica"/>
        </w:rPr>
        <w:t>18. RED-TEAM REVIEW</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ATS/parser rejection: unusual formatting or missing exact terms. Fixed by single-column master and keyword architecture.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Recruiter rejection: cannot reconcile strong branding with limited professional history. Fixed by using functional identity, project labels and explicit evidence boundaries.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Hiring-manager rejection: artifacts show theory but no production/audit ownership. Cannot be solved by copy; add real organizational exposure and one technically tested automation/cloud project.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Director/executive rejection: too much detail before business relevance. Fixed by three flagship systems and business-value section above the catalogue.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Skeptical reviewer rejection: metric or credential collapses under verification. Fixed by Claim Ledger and prohibited unsupported outcomes.</w:t>
      </w:r>
    </w:p>
    <w:p>
      <w:pPr>
        <w:pStyle w:val="Heading1"/>
      </w:pPr>
      <w:r>
        <w:rPr>
          <w:rFonts w:ascii="Helvetica" w:hAnsi="Helvetica" w:eastAsia="Helvetica" w:cs="Helvetica"/>
        </w:rPr>
        <w:t>19. FINAL PRE-SUBMISSION CHECKLIST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Read every knockout question first.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Tailor summary and skill order to the actual job description.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Select 2–4 relevant projects, not all ten.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Verify every metric against the workbook.</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Check degree/certification/work-authorization wording.</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Open every URL and artifact.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Copy resume to plain text and check reading order.</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Match LinkedIn facts to resume/application form.</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Spell-check company, role, hiring manager and framework names.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Save filename as First_Last_Role_Company.docx unless the portal specifies another format.</w:t>
      </w:r>
    </w:p>
    <w:p>
      <w:pPr>
        <w:pStyle w:val="Heading1"/>
      </w:pPr>
      <w:r>
        <w:rPr>
          <w:rFonts w:ascii="Helvetica" w:hAnsi="Helvetica" w:eastAsia="Helvetica" w:cs="Helvetica"/>
        </w:rPr>
        <w:t>20. PRIORITIZED ACTION PLAN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P0 — Before every application: eliminate hard-blocker mismatches; tailor the master resume; verify all links; keep degree/experience/authorization claims exact; never use unsupported metrics/certs/tools.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P1 — Highest value: build a cloud-control evidence lab; obtain genuine audit/GRC operational exposure; create one tested Python governance-automation repo; tailor LinkedIn Featured to the target role family.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P2 — Useful: add a short technical case study with trade-offs/limitations; collect legitimate recommendations from people who have directly reviewed your work; improve GitHub READMEs.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P3 — Cosmetic: extra animations, more social icons, decorative brand treatments. Do these only after evidence and targeting are stronger.</w:t>
      </w:r>
    </w:p>
    <w:p>
      <w:pPr>
        <w:pStyle w:val="Heading1"/>
      </w:pPr>
      <w:r>
        <w:rPr>
          <w:rFonts w:ascii="Helvetica" w:hAnsi="Helvetica" w:eastAsia="Helvetica" w:cs="Helvetica"/>
        </w:rPr>
        <w:t>Research basis — current global examples</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Checkout.com — Information Security Analyst: https://jobs.ashbyhq.com/checkout.com/adb755ae-ed68-452c-a38b-71e3b5b6077a</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Checkout.com — Information Security Analyst II (GRC): https://jobs.ashbyhq.com/checkout.com/2a3630d8-7462-442a-8c05-75f595b240c4</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Checkout.com — Senior Information Security Analyst (GRC): https://jobs.ashbyhq.com/checkout.com/b9c4cc99-507e-41eb-b837-57107a1644de</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Ivo — GRC Analyst: https://jobs.ashbyhq.com/ivo-inc/1356245d-cb5f-4f0f-8ffe-806b39225af0</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Profound — Information Security Analyst: https://jobs.ashbyhq.com/Profound/86863e6b-05d1-4c82-b37b-a5cab68e5d75</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Synthesia — GRC Analyst: https://jobs.ashbyhq.com/synthesia/28845500-da6a-433d-b31b-c9cccbb934cf</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Primer — GRC Analyst: https://jobs.ashbyhq.com/primer.io/5fb6b4a0-d9be-4bba-97a3-5e7b8953baa2/</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Workday Resume Parsing: https://doc.workday.com/admin-guide/en-us/human-capital-management/recruiting/candidates/set-up-prospects-and-candidates/hdc1552497830785.html</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SAP SuccessFactors Resume Parsing: https://help.sap.com/docs/successfactors-recruiting/setting-up-and-maintaining-sap-successfactors-recruiting/configuring-resume-parsing</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Apple Typography: https://developer.apple.com/design/human-interface-guidelines/typography</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Apple Fonts: https://developer.apple.com/fonts/</w:t>
      </w:r>
    </w:p>
    <w:sectPr w:rsidR="00FC693F" w:rsidRPr="0006063C" w:rsidSect="00034616">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Helvetica" w:hAnsi="Helvetica" w:eastAsia="Helvetica" w:cs="Helvetica"/>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HeaderChar">
    <w:name w:val="Header Char"/>
    <w:basedOn w:val="DefaultParagraphFont"/>
    <w:link w:val="Header"/>
    <w:uiPriority w:val="99"/>
    <w:rsid w:val="00E618BF"/>
    <w:rPr>
      <w:rFonts w:ascii="Helvetica" w:hAnsi="Helvetica" w:eastAsia="Helvetica" w:cs="Helvetic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FooterChar">
    <w:name w:val="Footer Char"/>
    <w:basedOn w:val="DefaultParagraphFont"/>
    <w:link w:val="Footer"/>
    <w:uiPriority w:val="99"/>
    <w:rsid w:val="00E618BF"/>
    <w:rPr>
      <w:rFonts w:ascii="Helvetica" w:hAnsi="Helvetica" w:eastAsia="Helvetica" w:cs="Helvetica"/>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elvetica" w:hAnsi="Helvetica" w:eastAsia="Helvetica" w:cs="Helvetica"/>
      <w:b/>
      <w:bCs/>
      <w:color w:val="07100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Helvetica" w:hAnsi="Helvetica" w:eastAsia="Helvetica" w:cs="Helvetica"/>
      <w:b/>
      <w:bCs/>
      <w:color w:val="0F766E"/>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Helvetica" w:hAnsi="Helvetica" w:eastAsia="Helvetica" w:cs="Helvetica"/>
      <w:b/>
      <w:bCs/>
      <w:color w:val="115E5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elvetica" w:hAnsi="Helvetica" w:eastAsia="Helvetica" w:cs="Helvetic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elvetica" w:hAnsi="Helvetica" w:eastAsia="Helvetica" w:cs="Helvetic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elvetica" w:hAnsi="Helvetica" w:eastAsia="Helvetica" w:cs="Helvetic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elvetica" w:hAnsi="Helvetica" w:eastAsia="Helvetica" w:cs="Helvetic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elvetica" w:hAnsi="Helvetica" w:eastAsia="Helvetica" w:cs="Helvetic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elvetica" w:hAnsi="Helvetica" w:eastAsia="Helvetica" w:cs="Helvetica"/>
      <w:i/>
      <w:iCs/>
      <w:color w:val="404040" w:themeColor="text1" w:themeTint="BF"/>
      <w:sz w:val="20"/>
      <w:szCs w:val="20"/>
    </w:rPr>
  </w:style>
  <w:style w:type="character" w:default="1" w:styleId="DefaultParagraphFont">
    <w:name w:val="Default Paragraph Font"/>
    <w:uiPriority w:val="1"/>
    <w:semiHidden/>
    <w:unhideWhenUsed/>
    <w:rPr>
      <w:rFonts w:ascii="Helvetica" w:hAnsi="Helvetica" w:eastAsia="Helvetica" w:cs="Helvetica"/>
    </w:rPr>
  </w:style>
  <w:style w:type="table" w:default="1" w:styleId="TableNormal">
    <w:name w:val="Normal Table"/>
    <w:uiPriority w:val="99"/>
    <w:semiHidden/>
    <w:unhideWhenUsed/>
    <w:rPr>
      <w:rFonts w:ascii="Helvetica" w:hAnsi="Helvetica" w:eastAsia="Helvetica" w:cs="Helvetic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eastAsia="Helvetica" w:cs="Helvetic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elvetica" w:hAnsi="Helvetica" w:eastAsia="Helvetica" w:cs="Helvetic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elvetica" w:hAnsi="Helvetica" w:eastAsia="Helvetica" w:cs="Helvetic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elvetica" w:hAnsi="Helvetica" w:eastAsia="Helvetica" w:cs="Helvetica"/>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Helvetica" w:hAnsi="Helvetica" w:eastAsia="Helvetica" w:cs="Helvetica"/>
      <w:b/>
      <w:color w:val="07100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elvetica" w:hAnsi="Helvetica" w:eastAsia="Helvetica" w:cs="Helvetic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Helvetica" w:cs="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elvetica" w:hAnsi="Helvetica" w:eastAsia="Helvetica" w:cs="Helvetic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elvetica" w:hAnsi="Helvetica" w:eastAsia="Helvetica" w:cs="Helvetica"/>
    </w:rPr>
  </w:style>
  <w:style w:type="paragraph" w:styleId="BodyText">
    <w:name w:val="Body Text"/>
    <w:basedOn w:val="Normal"/>
    <w:link w:val="BodyTextChar"/>
    <w:uiPriority w:val="99"/>
    <w:unhideWhenUsed/>
    <w:rsid w:val="00AA1D8D"/>
    <w:pPr>
      <w:spacing w:after="120"/>
    </w:pPr>
    <w:rPr>
      <w:rFonts w:ascii="Helvetica" w:hAnsi="Helvetica" w:eastAsia="Helvetica" w:cs="Helvetica"/>
    </w:rPr>
  </w:style>
  <w:style w:type="character" w:customStyle="1" w:styleId="BodyTextChar">
    <w:name w:val="Body Text Char"/>
    <w:basedOn w:val="DefaultParagraphFont"/>
    <w:link w:val="BodyText"/>
    <w:uiPriority w:val="99"/>
    <w:rsid w:val="00AA1D8D"/>
    <w:rPr>
      <w:rFonts w:ascii="Helvetica" w:hAnsi="Helvetica" w:eastAsia="Helvetica" w:cs="Helvetica"/>
    </w:rPr>
  </w:style>
  <w:style w:type="paragraph" w:styleId="BodyText2">
    <w:name w:val="Body Text 2"/>
    <w:basedOn w:val="Normal"/>
    <w:link w:val="BodyText2Char"/>
    <w:uiPriority w:val="99"/>
    <w:unhideWhenUsed/>
    <w:rsid w:val="00AA1D8D"/>
    <w:pPr>
      <w:spacing w:after="120" w:line="480" w:lineRule="auto"/>
    </w:pPr>
    <w:rPr>
      <w:rFonts w:ascii="Helvetica" w:hAnsi="Helvetica" w:eastAsia="Helvetica" w:cs="Helvetica"/>
    </w:rPr>
  </w:style>
  <w:style w:type="character" w:customStyle="1" w:styleId="BodyText2Char">
    <w:name w:val="Body Text 2 Char"/>
    <w:basedOn w:val="DefaultParagraphFont"/>
    <w:link w:val="BodyText2"/>
    <w:uiPriority w:val="99"/>
    <w:rsid w:val="00AA1D8D"/>
    <w:rPr>
      <w:rFonts w:ascii="Helvetica" w:hAnsi="Helvetica" w:eastAsia="Helvetica" w:cs="Helvetica"/>
    </w:rPr>
  </w:style>
  <w:style w:type="paragraph" w:styleId="BodyText3">
    <w:name w:val="Body Text 3"/>
    <w:basedOn w:val="Normal"/>
    <w:link w:val="BodyText3Char"/>
    <w:uiPriority w:val="99"/>
    <w:unhideWhenUsed/>
    <w:rsid w:val="00AA1D8D"/>
    <w:pPr>
      <w:spacing w:after="120"/>
    </w:pPr>
    <w:rPr>
      <w:rFonts w:ascii="Helvetica" w:hAnsi="Helvetica" w:eastAsia="Helvetica" w:cs="Helvetica"/>
      <w:sz w:val="16"/>
      <w:szCs w:val="16"/>
    </w:rPr>
  </w:style>
  <w:style w:type="character" w:customStyle="1" w:styleId="BodyText3Char">
    <w:name w:val="Body Text 3 Char"/>
    <w:basedOn w:val="DefaultParagraphFont"/>
    <w:link w:val="BodyText3"/>
    <w:uiPriority w:val="99"/>
    <w:rsid w:val="00AA1D8D"/>
    <w:rPr>
      <w:rFonts w:ascii="Helvetica" w:hAnsi="Helvetica" w:eastAsia="Helvetica" w:cs="Helvetica"/>
      <w:sz w:val="16"/>
      <w:szCs w:val="16"/>
    </w:rPr>
  </w:style>
  <w:style w:type="paragraph" w:styleId="List">
    <w:name w:val="List"/>
    <w:basedOn w:val="Normal"/>
    <w:uiPriority w:val="99"/>
    <w:unhideWhenUsed/>
    <w:rsid w:val="00AA1D8D"/>
    <w:pPr>
      <w:ind w:left="360" w:hanging="360"/>
      <w:contextualSpacing/>
    </w:pPr>
    <w:rPr>
      <w:rFonts w:ascii="Helvetica" w:hAnsi="Helvetica" w:eastAsia="Helvetica" w:cs="Helvetica"/>
    </w:rPr>
  </w:style>
  <w:style w:type="paragraph" w:styleId="List2">
    <w:name w:val="List 2"/>
    <w:basedOn w:val="Normal"/>
    <w:uiPriority w:val="99"/>
    <w:unhideWhenUsed/>
    <w:rsid w:val="00326F90"/>
    <w:pPr>
      <w:ind w:left="720" w:hanging="360"/>
      <w:contextualSpacing/>
    </w:pPr>
    <w:rPr>
      <w:rFonts w:ascii="Helvetica" w:hAnsi="Helvetica" w:eastAsia="Helvetica" w:cs="Helvetica"/>
    </w:rPr>
  </w:style>
  <w:style w:type="paragraph" w:styleId="List3">
    <w:name w:val="List 3"/>
    <w:basedOn w:val="Normal"/>
    <w:uiPriority w:val="99"/>
    <w:unhideWhenUsed/>
    <w:rsid w:val="00326F90"/>
    <w:pPr>
      <w:ind w:left="1080" w:hanging="360"/>
      <w:contextualSpacing/>
    </w:pPr>
    <w:rPr>
      <w:rFonts w:ascii="Helvetica" w:hAnsi="Helvetica" w:eastAsia="Helvetica" w:cs="Helvetica"/>
    </w:rPr>
  </w:style>
  <w:style w:type="paragraph" w:styleId="ListBullet">
    <w:name w:val="List Bullet"/>
    <w:basedOn w:val="Normal"/>
    <w:uiPriority w:val="99"/>
    <w:unhideWhenUsed/>
    <w:rsid w:val="00326F90"/>
    <w:pPr>
      <w:numPr>
        <w:numId w:val="1"/>
      </w:numPr>
      <w:contextualSpacing/>
    </w:pPr>
    <w:rPr>
      <w:rFonts w:ascii="Helvetica" w:hAnsi="Helvetica" w:eastAsia="Helvetica" w:cs="Helvetica"/>
    </w:rPr>
  </w:style>
  <w:style w:type="paragraph" w:styleId="ListBullet2">
    <w:name w:val="List Bullet 2"/>
    <w:basedOn w:val="Normal"/>
    <w:uiPriority w:val="99"/>
    <w:unhideWhenUsed/>
    <w:rsid w:val="00326F90"/>
    <w:pPr>
      <w:numPr>
        <w:numId w:val="2"/>
      </w:numPr>
      <w:contextualSpacing/>
    </w:pPr>
    <w:rPr>
      <w:rFonts w:ascii="Helvetica" w:hAnsi="Helvetica" w:eastAsia="Helvetica" w:cs="Helvetica"/>
    </w:rPr>
  </w:style>
  <w:style w:type="paragraph" w:styleId="ListBullet3">
    <w:name w:val="List Bullet 3"/>
    <w:basedOn w:val="Normal"/>
    <w:uiPriority w:val="99"/>
    <w:unhideWhenUsed/>
    <w:rsid w:val="00326F90"/>
    <w:pPr>
      <w:numPr>
        <w:numId w:val="3"/>
      </w:numPr>
      <w:contextualSpacing/>
    </w:pPr>
    <w:rPr>
      <w:rFonts w:ascii="Helvetica" w:hAnsi="Helvetica" w:eastAsia="Helvetica" w:cs="Helvetica"/>
    </w:rPr>
  </w:style>
  <w:style w:type="paragraph" w:styleId="ListNumber">
    <w:name w:val="List Number"/>
    <w:basedOn w:val="Normal"/>
    <w:uiPriority w:val="99"/>
    <w:unhideWhenUsed/>
    <w:rsid w:val="00326F90"/>
    <w:pPr>
      <w:numPr>
        <w:numId w:val="5"/>
      </w:numPr>
      <w:contextualSpacing/>
    </w:pPr>
    <w:rPr>
      <w:rFonts w:ascii="Helvetica" w:hAnsi="Helvetica" w:eastAsia="Helvetica" w:cs="Helvetica"/>
    </w:rPr>
  </w:style>
  <w:style w:type="paragraph" w:styleId="ListNumber2">
    <w:name w:val="List Number 2"/>
    <w:basedOn w:val="Normal"/>
    <w:uiPriority w:val="99"/>
    <w:unhideWhenUsed/>
    <w:rsid w:val="0029639D"/>
    <w:pPr>
      <w:numPr>
        <w:numId w:val="6"/>
      </w:numPr>
      <w:contextualSpacing/>
    </w:pPr>
    <w:rPr>
      <w:rFonts w:ascii="Helvetica" w:hAnsi="Helvetica" w:eastAsia="Helvetica" w:cs="Helvetica"/>
    </w:rPr>
  </w:style>
  <w:style w:type="paragraph" w:styleId="ListNumber3">
    <w:name w:val="List Number 3"/>
    <w:basedOn w:val="Normal"/>
    <w:uiPriority w:val="99"/>
    <w:unhideWhenUsed/>
    <w:rsid w:val="0029639D"/>
    <w:pPr>
      <w:numPr>
        <w:numId w:val="7"/>
      </w:numPr>
      <w:contextualSpacing/>
    </w:pPr>
    <w:rPr>
      <w:rFonts w:ascii="Helvetica" w:hAnsi="Helvetica" w:eastAsia="Helvetica" w:cs="Helvetica"/>
    </w:rPr>
  </w:style>
  <w:style w:type="paragraph" w:styleId="ListContinue">
    <w:name w:val="List Continue"/>
    <w:basedOn w:val="Normal"/>
    <w:uiPriority w:val="99"/>
    <w:unhideWhenUsed/>
    <w:rsid w:val="0029639D"/>
    <w:pPr>
      <w:spacing w:after="120"/>
      <w:ind w:left="360"/>
      <w:contextualSpacing/>
    </w:pPr>
    <w:rPr>
      <w:rFonts w:ascii="Helvetica" w:hAnsi="Helvetica" w:eastAsia="Helvetica" w:cs="Helvetica"/>
    </w:rPr>
  </w:style>
  <w:style w:type="paragraph" w:styleId="ListContinue2">
    <w:name w:val="List Continue 2"/>
    <w:basedOn w:val="Normal"/>
    <w:uiPriority w:val="99"/>
    <w:unhideWhenUsed/>
    <w:rsid w:val="0029639D"/>
    <w:pPr>
      <w:spacing w:after="120"/>
      <w:ind w:left="720"/>
      <w:contextualSpacing/>
    </w:pPr>
    <w:rPr>
      <w:rFonts w:ascii="Helvetica" w:hAnsi="Helvetica" w:eastAsia="Helvetica" w:cs="Helvetica"/>
    </w:rPr>
  </w:style>
  <w:style w:type="paragraph" w:styleId="ListContinue3">
    <w:name w:val="List Continue 3"/>
    <w:basedOn w:val="Normal"/>
    <w:uiPriority w:val="99"/>
    <w:unhideWhenUsed/>
    <w:rsid w:val="0029639D"/>
    <w:pPr>
      <w:spacing w:after="120"/>
      <w:ind w:left="1080"/>
      <w:contextualSpacing/>
    </w:pPr>
    <w:rPr>
      <w:rFonts w:ascii="Helvetica" w:hAnsi="Helvetica" w:eastAsia="Helvetica" w:cs="Helvetic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eastAsia="Helvetica" w:cs="Helvetica"/>
      <w:sz w:val="20"/>
      <w:szCs w:val="20"/>
    </w:rPr>
  </w:style>
  <w:style w:type="character" w:customStyle="1" w:styleId="MacroTextChar">
    <w:name w:val="Macro Text Char"/>
    <w:basedOn w:val="DefaultParagraphFont"/>
    <w:link w:val="MacroText"/>
    <w:uiPriority w:val="99"/>
    <w:rsid w:val="0029639D"/>
    <w:rPr>
      <w:rFonts w:ascii="Helvetica" w:hAnsi="Helvetica" w:eastAsia="Helvetica" w:cs="Helvetica"/>
      <w:sz w:val="20"/>
      <w:szCs w:val="20"/>
    </w:rPr>
  </w:style>
  <w:style w:type="paragraph" w:styleId="Quote">
    <w:name w:val="Quote"/>
    <w:basedOn w:val="Normal"/>
    <w:next w:val="Normal"/>
    <w:link w:val="QuoteChar"/>
    <w:uiPriority w:val="29"/>
    <w:qFormat/>
    <w:rsid w:val="00FC693F"/>
    <w:rPr>
      <w:rFonts w:ascii="Helvetica" w:hAnsi="Helvetica" w:eastAsia="Helvetica" w:cs="Helvetica"/>
      <w:i/>
      <w:iCs/>
      <w:color w:val="000000" w:themeColor="text1"/>
    </w:rPr>
  </w:style>
  <w:style w:type="character" w:customStyle="1" w:styleId="QuoteChar">
    <w:name w:val="Quote Char"/>
    <w:basedOn w:val="DefaultParagraphFont"/>
    <w:link w:val="Quote"/>
    <w:uiPriority w:val="29"/>
    <w:rsid w:val="00FC693F"/>
    <w:rPr>
      <w:rFonts w:ascii="Helvetica" w:hAnsi="Helvetica" w:eastAsia="Helvetica" w:cs="Helvetic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elvetica" w:hAnsi="Helvetica" w:eastAsia="Helvetica" w:cs="Helvetic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elvetica" w:hAnsi="Helvetica" w:eastAsia="Helvetica" w:cs="Helvetic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elvetica" w:hAnsi="Helvetica" w:eastAsia="Helvetica" w:cs="Helvetic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elvetica" w:hAnsi="Helvetica" w:eastAsia="Helvetica" w:cs="Helvetic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elvetica" w:hAnsi="Helvetica" w:eastAsia="Helvetica" w:cs="Helvetic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elvetica" w:hAnsi="Helvetica" w:eastAsia="Helvetica" w:cs="Helvetic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eastAsia="Helvetica" w:cs="Helvetica"/>
      <w:b/>
      <w:bCs/>
      <w:color w:val="4F81BD" w:themeColor="accent1"/>
      <w:sz w:val="18"/>
      <w:szCs w:val="18"/>
    </w:rPr>
  </w:style>
  <w:style w:type="character" w:styleId="Strong">
    <w:name w:val="Strong"/>
    <w:basedOn w:val="DefaultParagraphFont"/>
    <w:uiPriority w:val="22"/>
    <w:qFormat/>
    <w:rsid w:val="00FC693F"/>
    <w:rPr>
      <w:rFonts w:ascii="Helvetica" w:hAnsi="Helvetica" w:eastAsia="Helvetica" w:cs="Helvetica"/>
      <w:b/>
      <w:bCs/>
    </w:rPr>
  </w:style>
  <w:style w:type="character" w:styleId="Emphasis">
    <w:name w:val="Emphasis"/>
    <w:basedOn w:val="DefaultParagraphFont"/>
    <w:uiPriority w:val="20"/>
    <w:qFormat/>
    <w:rsid w:val="00FC693F"/>
    <w:rPr>
      <w:rFonts w:ascii="Helvetica" w:hAnsi="Helvetica" w:eastAsia="Helvetica" w:cs="Helvetic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eastAsia="Helvetica" w:cs="Helvetica"/>
      <w:b/>
      <w:bCs/>
      <w:i/>
      <w:iCs/>
      <w:color w:val="4F81BD" w:themeColor="accent1"/>
    </w:rPr>
  </w:style>
  <w:style w:type="character" w:customStyle="1" w:styleId="IntenseQuoteChar">
    <w:name w:val="Intense Quote Char"/>
    <w:basedOn w:val="DefaultParagraphFont"/>
    <w:link w:val="IntenseQuote"/>
    <w:uiPriority w:val="30"/>
    <w:rsid w:val="00FC693F"/>
    <w:rPr>
      <w:rFonts w:ascii="Helvetica" w:hAnsi="Helvetica" w:eastAsia="Helvetica" w:cs="Helvetica"/>
      <w:b/>
      <w:bCs/>
      <w:i/>
      <w:iCs/>
      <w:color w:val="4F81BD" w:themeColor="accent1"/>
    </w:rPr>
  </w:style>
  <w:style w:type="character" w:styleId="SubtleEmphasis">
    <w:name w:val="Subtle Emphasis"/>
    <w:basedOn w:val="DefaultParagraphFont"/>
    <w:uiPriority w:val="19"/>
    <w:qFormat/>
    <w:rsid w:val="00FC693F"/>
    <w:rPr>
      <w:rFonts w:ascii="Helvetica" w:hAnsi="Helvetica" w:eastAsia="Helvetica" w:cs="Helvetica"/>
      <w:i/>
      <w:iCs/>
      <w:color w:val="808080" w:themeColor="text1" w:themeTint="7F"/>
    </w:rPr>
  </w:style>
  <w:style w:type="character" w:styleId="IntenseEmphasis">
    <w:name w:val="Intense Emphasis"/>
    <w:basedOn w:val="DefaultParagraphFont"/>
    <w:uiPriority w:val="21"/>
    <w:qFormat/>
    <w:rsid w:val="00FC693F"/>
    <w:rPr>
      <w:rFonts w:ascii="Helvetica" w:hAnsi="Helvetica" w:eastAsia="Helvetica" w:cs="Helvetica"/>
      <w:b/>
      <w:bCs/>
      <w:i/>
      <w:iCs/>
      <w:color w:val="4F81BD" w:themeColor="accent1"/>
    </w:rPr>
  </w:style>
  <w:style w:type="character" w:styleId="SubtleReference">
    <w:name w:val="Subtle Reference"/>
    <w:basedOn w:val="DefaultParagraphFont"/>
    <w:uiPriority w:val="31"/>
    <w:qFormat/>
    <w:rsid w:val="00FC693F"/>
    <w:rPr>
      <w:rFonts w:ascii="Helvetica" w:hAnsi="Helvetica" w:eastAsia="Helvetica" w:cs="Helvetica"/>
      <w:smallCaps/>
      <w:color w:val="C0504D" w:themeColor="accent2"/>
      <w:u w:val="single"/>
    </w:rPr>
  </w:style>
  <w:style w:type="character" w:styleId="IntenseReference">
    <w:name w:val="Intense Reference"/>
    <w:basedOn w:val="DefaultParagraphFont"/>
    <w:uiPriority w:val="32"/>
    <w:qFormat/>
    <w:rsid w:val="00FC693F"/>
    <w:rPr>
      <w:rFonts w:ascii="Helvetica" w:hAnsi="Helvetica" w:eastAsia="Helvetica" w:cs="Helvetica"/>
      <w:b/>
      <w:bCs/>
      <w:smallCaps/>
      <w:color w:val="C0504D" w:themeColor="accent2"/>
      <w:spacing w:val="5"/>
      <w:u w:val="single"/>
    </w:rPr>
  </w:style>
  <w:style w:type="character" w:styleId="BookTitle">
    <w:name w:val="Book Title"/>
    <w:basedOn w:val="DefaultParagraphFont"/>
    <w:uiPriority w:val="33"/>
    <w:qFormat/>
    <w:rsid w:val="00FC693F"/>
    <w:rPr>
      <w:rFonts w:ascii="Helvetica" w:hAnsi="Helvetica" w:eastAsia="Helvetica" w:cs="Helvetica"/>
      <w:b/>
      <w:bCs/>
      <w:smallCaps/>
      <w:spacing w:val="5"/>
    </w:rPr>
  </w:style>
  <w:style w:type="paragraph" w:styleId="TOCHeading">
    <w:name w:val="TOC Heading"/>
    <w:basedOn w:val="Heading1"/>
    <w:next w:val="Normal"/>
    <w:uiPriority w:val="39"/>
    <w:semiHidden/>
    <w:unhideWhenUsed/>
    <w:qFormat/>
    <w:rsid w:val="00FC693F"/>
    <w:pPr>
      <w:outlineLvl w:val="9"/>
    </w:pPr>
    <w:rPr>
      <w:rFonts w:ascii="Helvetica" w:hAnsi="Helvetica" w:eastAsia="Helvetica" w:cs="Helvetica"/>
    </w:rPr>
  </w:style>
  <w:style w:type="table" w:styleId="TableGrid">
    <w:name w:val="Table Grid"/>
    <w:basedOn w:val="TableNormal"/>
    <w:uiPriority w:val="59"/>
    <w:rsid w:val="00FC693F"/>
    <w:pPr>
      <w:spacing w:after="0" w:line="240" w:lineRule="auto"/>
    </w:pPr>
    <w:rPr>
      <w:rFonts w:ascii="Helvetica" w:hAnsi="Helvetica" w:eastAsia="Helvetica" w:cs="Helveti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eastAsia="Helvetica" w:cs="Helvetic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eastAsia="Helvetica" w:cs="Helvetic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eastAsia="Helvetica" w:cs="Helvetic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eastAsia="Helvetica" w:cs="Helvetic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eastAsia="Helvetica" w:cs="Helvetic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eastAsia="Helvetica" w:cs="Helvetic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eastAsia="Helvetica" w:cs="Helvetic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