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 w:eastAsia="Helvetica" w:cs="Helvetica"/>
        </w:rPr>
        <w:t>WEBSITE CODE GUIDE</w:t>
      </w:r>
    </w:p>
    <w:p>
      <w:r>
        <w:rPr>
          <w:rFonts w:ascii="Helvetica" w:hAnsi="Helvetica" w:eastAsia="Helvetica" w:cs="Helvetica"/>
        </w:rPr>
        <w:t>Architecture, motion system, visual components, editing map and deployment checks for the portfolio.</w:t>
      </w:r>
    </w:p>
    <w:p>
      <w:pPr>
        <w:pStyle w:val="Heading1"/>
      </w:pPr>
      <w:r>
        <w:rPr>
          <w:rFonts w:ascii="Helvetica" w:hAnsi="Helvetica" w:eastAsia="Helvetica" w:cs="Helvetica"/>
        </w:rPr>
        <w:t>01 — Editing model</w:t>
      </w:r>
    </w:p>
    <w:p>
      <w:r>
        <w:rPr>
          <w:rFonts w:ascii="Helvetica" w:hAnsi="Helvetica" w:eastAsia="Helvetica" w:cs="Helvetica"/>
        </w:rPr>
        <w:t>• Routine text: edit Website_Content_Guide.docx, save, run npm run sync:copy, then lint/build.</w:t>
      </w:r>
    </w:p>
    <w:p>
      <w:r>
        <w:rPr>
          <w:rFonts w:ascii="Helvetica" w:hAnsi="Helvetica" w:eastAsia="Helvetica" w:cs="Helvetica"/>
        </w:rPr>
        <w:t>• Identity, social URLs, verified portfolio counts, projects, skills and visualization data: edit data/portfolio.ts.</w:t>
      </w:r>
    </w:p>
    <w:p>
      <w:r>
        <w:rPr>
          <w:rFonts w:ascii="Helvetica" w:hAnsi="Helvetica" w:eastAsia="Helvetica" w:cs="Helvetica"/>
        </w:rPr>
        <w:t>• Site copy source of truth: data/site-copy.json. The Word guide syncs into this file.</w:t>
      </w:r>
    </w:p>
    <w:p>
      <w:r>
        <w:rPr>
          <w:rFonts w:ascii="Helvetica" w:hAnsi="Helvetica" w:eastAsia="Helvetica" w:cs="Helvetica"/>
        </w:rPr>
        <w:t>• Typography and hardware rules: app/globals.css.</w:t>
      </w:r>
    </w:p>
    <w:p>
      <w:r>
        <w:rPr>
          <w:rFonts w:ascii="Helvetica" w:hAnsi="Helvetica" w:eastAsia="Helvetica" w:cs="Helvetica"/>
        </w:rPr>
        <w:t>• Scroll-linked spatial transitions: components/ScrollFocusSection.tsx.</w:t>
      </w:r>
    </w:p>
    <w:p>
      <w:r>
        <w:rPr>
          <w:rFonts w:ascii="Helvetica" w:hAnsi="Helvetica" w:eastAsia="Helvetica" w:cs="Helvetica"/>
        </w:rPr>
        <w:t>• Interactive evidence visuals: GovernanceLineageDiagram.tsx, AIRiskHeatmap.tsx, AssuranceTelemetryBar.tsx, TPRMDecisionTree.tsx, PortfolioDomainDonut.tsx, ExecutiveRiskPanel.tsx.</w:t>
      </w:r>
    </w:p>
    <w:p>
      <w:r>
        <w:rPr>
          <w:rFonts w:ascii="Helvetica" w:hAnsi="Helvetica" w:eastAsia="Helvetica" w:cs="Helvetica"/>
        </w:rPr>
        <w:t>• AAO header/social links only: components/Navigation.tsx. WhatsApp remains blank until a real public URL is supplied.</w:t>
      </w:r>
    </w:p>
    <w:p>
      <w:pPr>
        <w:pStyle w:val="Heading1"/>
      </w:pPr>
      <w:r>
        <w:rPr>
          <w:rFonts w:ascii="Helvetica" w:hAnsi="Helvetica" w:eastAsia="Helvetica" w:cs="Helvetica"/>
        </w:rPr>
        <w:t>02 — Premium typography</w:t>
      </w:r>
    </w:p>
    <w:p>
      <w:r>
        <w:rPr>
          <w:rFonts w:ascii="Helvetica" w:hAnsi="Helvetica" w:eastAsia="Helvetica" w:cs="Helvetica"/>
        </w:rPr>
        <w:t>The site uses native system typography: -apple-system/BlinkMacSystemFont on Apple platforms, Segoe UI Variable on Windows, then Helvetica/Arial/system fallbacks. No font files are bundled. Headings use tighter tracking and optical sizing; body copy uses a lighter editorial rhythm.</w:t>
      </w:r>
    </w:p>
    <w:p>
      <w:pPr>
        <w:pStyle w:val="NoSpacing"/>
        <w:spacing w:after="0" w:line="240" w:lineRule="auto"/>
      </w:pPr>
      <w:r>
        <w:rPr>
          <w:rFonts w:ascii="Consolas" w:hAnsi="Consolas" w:eastAsia="Consolas" w:cs="Consolas"/>
          <w:color w:val="25312E"/>
          <w:sz w:val="14"/>
        </w:rPr>
        <w:t>/* app/globals.css */</w:t>
        <w:br/>
      </w:r>
      <w:r>
        <w:rPr>
          <w:rFonts w:ascii="Consolas" w:hAnsi="Consolas" w:eastAsia="Consolas" w:cs="Consolas"/>
          <w:color w:val="25312E"/>
          <w:sz w:val="14"/>
        </w:rPr>
        <w:t>--font-sans: ui-sans-serif, -apple-system, BlinkMacSystemFont,</w:t>
        <w:br/>
      </w:r>
      <w:r>
        <w:rPr>
          <w:rFonts w:ascii="Consolas" w:hAnsi="Consolas" w:eastAsia="Consolas" w:cs="Consolas"/>
          <w:color w:val="25312E"/>
          <w:sz w:val="14"/>
        </w:rPr>
        <w:t xml:space="preserve">  "Segoe UI Variable Text", "Segoe UI", "Helvetica Neue", Helvetica, Arial, sans-serif;</w:t>
        <w:br/>
      </w:r>
      <w:r>
        <w:rPr>
          <w:rFonts w:ascii="Consolas" w:hAnsi="Consolas" w:eastAsia="Consolas" w:cs="Consolas"/>
          <w:color w:val="25312E"/>
          <w:sz w:val="14"/>
        </w:rPr>
        <w:t>--font-display: ui-sans-serif, -apple-system, BlinkMacSystemFont,</w:t>
        <w:br/>
      </w:r>
      <w:r>
        <w:rPr>
          <w:rFonts w:ascii="Consolas" w:hAnsi="Consolas" w:eastAsia="Consolas" w:cs="Consolas"/>
          <w:color w:val="25312E"/>
          <w:sz w:val="14"/>
        </w:rPr>
        <w:t xml:space="preserve">  "Segoe UI Variable Display", "Segoe UI", "Helvetica Neue", Helvetica, Arial, sans-serif;</w:t>
        <w:br/>
      </w:r>
    </w:p>
    <w:p>
      <w:pPr>
        <w:pStyle w:val="Heading1"/>
      </w:pPr>
      <w:r>
        <w:rPr>
          <w:rFonts w:ascii="Helvetica" w:hAnsi="Helvetica" w:eastAsia="Helvetica" w:cs="Helvetica"/>
        </w:rPr>
        <w:t>03 — Scroll focus architecture</w:t>
      </w:r>
    </w:p>
    <w:p>
      <w:r>
        <w:rPr>
          <w:rFonts w:ascii="Helvetica" w:hAnsi="Helvetica" w:eastAsia="Helvetica" w:cs="Helvetica"/>
        </w:rPr>
        <w:t>Each section owns one useScroll observer. SideSlideCard consumes the shared section progress, preventing one scroll observer per card. Motion maps section progress through entry, reading-zone lock and exit phases without changing document layout.</w:t>
      </w:r>
    </w:p>
    <w:p>
      <w:pPr>
        <w:pStyle w:val="NoSpacing"/>
        <w:spacing w:after="0" w:line="240" w:lineRule="auto"/>
      </w:pPr>
      <w:r>
        <w:rPr>
          <w:rFonts w:ascii="Consolas" w:hAnsi="Consolas" w:eastAsia="Consolas" w:cs="Consolas"/>
          <w:color w:val="25312E"/>
          <w:sz w:val="14"/>
        </w:rPr>
        <w:t>const { scrollYProgress } = useScroll({</w:t>
        <w:br/>
      </w:r>
      <w:r>
        <w:rPr>
          <w:rFonts w:ascii="Consolas" w:hAnsi="Consolas" w:eastAsia="Consolas" w:cs="Consolas"/>
          <w:color w:val="25312E"/>
          <w:sz w:val="14"/>
        </w:rPr>
        <w:t xml:space="preserve">  target: sectionRef,</w:t>
        <w:br/>
      </w:r>
      <w:r>
        <w:rPr>
          <w:rFonts w:ascii="Consolas" w:hAnsi="Consolas" w:eastAsia="Consolas" w:cs="Consolas"/>
          <w:color w:val="25312E"/>
          <w:sz w:val="14"/>
        </w:rPr>
        <w:t xml:space="preserve">  offset: ["start end", "end start"],</w:t>
        <w:br/>
      </w:r>
      <w:r>
        <w:rPr>
          <w:rFonts w:ascii="Consolas" w:hAnsi="Consolas" w:eastAsia="Consolas" w:cs="Consolas"/>
          <w:color w:val="25312E"/>
          <w:sz w:val="14"/>
        </w:rPr>
        <w:t>});</w:t>
        <w:br/>
      </w:r>
      <w:r>
        <w:rPr>
          <w:rFonts w:ascii="Consolas" w:hAnsi="Consolas" w:eastAsia="Consolas" w:cs="Consolas"/>
          <w:color w:val="25312E"/>
          <w:sz w:val="14"/>
        </w:rPr>
        <w:br/>
      </w:r>
      <w:r>
        <w:rPr>
          <w:rFonts w:ascii="Consolas" w:hAnsi="Consolas" w:eastAsia="Consolas" w:cs="Consolas"/>
          <w:color w:val="25312E"/>
          <w:sz w:val="14"/>
        </w:rPr>
        <w:t>// Desktop ±120px; tablet/foldable ±40px; mobile y ±30px.</w:t>
        <w:br/>
      </w:r>
      <w:r>
        <w:rPr>
          <w:rFonts w:ascii="Consolas" w:hAnsi="Consolas" w:eastAsia="Consolas" w:cs="Consolas"/>
          <w:color w:val="25312E"/>
          <w:sz w:val="14"/>
        </w:rPr>
        <w:t>const x = useTransform(progress, ranges, [direction * vector.x, 0, 0, direction * vector.x]);</w:t>
        <w:br/>
      </w:r>
      <w:r>
        <w:rPr>
          <w:rFonts w:ascii="Consolas" w:hAnsi="Consolas" w:eastAsia="Consolas" w:cs="Consolas"/>
          <w:color w:val="25312E"/>
          <w:sz w:val="14"/>
        </w:rPr>
        <w:t>const opacity = useTransform(progress, ranges, [0, 1, 1, 0]);</w:t>
        <w:br/>
      </w:r>
    </w:p>
    <w:p>
      <w:r>
        <w:rPr>
          <w:rFonts w:ascii="Helvetica" w:hAnsi="Helvetica" w:eastAsia="Helvetica" w:cs="Helvetica"/>
        </w:rPr>
        <w:t>Why this is safe: transforms and opacity do not change layout dimensions, so the animation avoids layout shift. On mobile the motion becomes vertical micro-travel instead of horizontal movement, preventing horizontal overflow and touch-scroll interference.</w:t>
      </w:r>
    </w:p>
    <w:p>
      <w:pPr>
        <w:pStyle w:val="Heading1"/>
      </w:pPr>
      <w:r>
        <w:rPr>
          <w:rFonts w:ascii="Helvetica" w:hAnsi="Helvetica" w:eastAsia="Helvetica" w:cs="Helvetica"/>
        </w:rPr>
        <w:t>04 — Hardware / accessibility rules</w:t>
      </w:r>
    </w:p>
    <w:p>
      <w:r>
        <w:rPr>
          <w:rFonts w:ascii="Helvetica" w:hAnsi="Helvetica" w:eastAsia="Helvetica" w:cs="Helvetica"/>
        </w:rPr>
        <w:t>• ≥1040px: horizontal side-slide. ≥1440px containment expands while travel remains 120px.</w:t>
      </w:r>
    </w:p>
    <w:p>
      <w:r>
        <w:rPr>
          <w:rFonts w:ascii="Helvetica" w:hAnsi="Helvetica" w:eastAsia="Helvetica" w:cs="Helvetica"/>
        </w:rPr>
        <w:t>• 768–1039px: 40px horizontal movement.</w:t>
      </w:r>
    </w:p>
    <w:p>
      <w:r>
        <w:rPr>
          <w:rFonts w:ascii="Helvetica" w:hAnsi="Helvetica" w:eastAsia="Helvetica" w:cs="Helvetica"/>
        </w:rPr>
        <w:t>• &lt;768px: 30px vertical micro-motion with subtle scale.</w:t>
      </w:r>
    </w:p>
    <w:p>
      <w:r>
        <w:rPr>
          <w:rFonts w:ascii="Helvetica" w:hAnsi="Helvetica" w:eastAsia="Helvetica" w:cs="Helvetica"/>
        </w:rPr>
        <w:t>• touch-action: pan-y on scroll sections.</w:t>
      </w:r>
    </w:p>
    <w:p>
      <w:r>
        <w:rPr>
          <w:rFonts w:ascii="Helvetica" w:hAnsi="Helvetica" w:eastAsia="Helvetica" w:cs="Helvetica"/>
        </w:rPr>
        <w:t>• prefers-reduced-motion: transforms collapse to neutral; opacity remains.</w:t>
      </w:r>
    </w:p>
    <w:p>
      <w:r>
        <w:rPr>
          <w:rFonts w:ascii="Helvetica" w:hAnsi="Helvetica" w:eastAsia="Helvetica" w:cs="Helvetica"/>
        </w:rPr>
        <w:t>• pointer: coarse disables perspective-heavy decoration.</w:t>
      </w:r>
    </w:p>
    <w:p>
      <w:r>
        <w:rPr>
          <w:rFonts w:ascii="Helvetica" w:hAnsi="Helvetica" w:eastAsia="Helvetica" w:cs="Helvetica"/>
        </w:rPr>
        <w:t>• overflow-x: clip prevents accidental horizontal scroll while preserving layout.</w:t>
      </w:r>
    </w:p>
    <w:p>
      <w:pPr>
        <w:pStyle w:val="Heading1"/>
      </w:pPr>
      <w:r>
        <w:rPr>
          <w:rFonts w:ascii="Helvetica" w:hAnsi="Helvetica" w:eastAsia="Helvetica" w:cs="Helvetica"/>
        </w:rPr>
        <w:t>05 — Interactive visual components</w:t>
      </w:r>
    </w:p>
    <w:p>
      <w:pPr>
        <w:pStyle w:val="Heading2"/>
      </w:pPr>
      <w:r>
        <w:rPr>
          <w:rFonts w:ascii="Helvetica" w:hAnsi="Helvetica" w:eastAsia="Helvetica" w:cs="Helvetica"/>
        </w:rPr>
        <w:t>GovernanceLineageDiagram</w:t>
      </w:r>
    </w:p>
    <w:p>
      <w:r>
        <w:rPr>
          <w:rFonts w:ascii="Helvetica" w:hAnsi="Helvetica" w:eastAsia="Helvetica" w:cs="Helvetica"/>
        </w:rPr>
        <w:t>Requirement → Control → Evidence → Exception → Residual Risk → Decision. Hover/focus/click selects a stage; scroll can advance the active lineage stage.</w:t>
      </w:r>
    </w:p>
    <w:p>
      <w:pPr>
        <w:pStyle w:val="Heading2"/>
      </w:pPr>
      <w:r>
        <w:rPr>
          <w:rFonts w:ascii="Helvetica" w:hAnsi="Helvetica" w:eastAsia="Helvetica" w:cs="Helvetica"/>
        </w:rPr>
        <w:t>AIRiskHeatmap</w:t>
      </w:r>
    </w:p>
    <w:p>
      <w:r>
        <w:rPr>
          <w:rFonts w:ascii="Helvetica" w:hAnsi="Helvetica" w:eastAsia="Helvetica" w:cs="Helvetica"/>
        </w:rPr>
        <w:t>Portfolio AI use cases plotted by modeled inherent risk and human-oversight intensity. 3D hover tilt is decorative and disabled for reduced-motion/coarse-pointer contexts.</w:t>
      </w:r>
    </w:p>
    <w:p>
      <w:pPr>
        <w:pStyle w:val="Heading2"/>
      </w:pPr>
      <w:r>
        <w:rPr>
          <w:rFonts w:ascii="Helvetica" w:hAnsi="Helvetica" w:eastAsia="Helvetica" w:cs="Helvetica"/>
        </w:rPr>
        <w:t>AssuranceTelemetryBar</w:t>
      </w:r>
    </w:p>
    <w:p>
      <w:r>
        <w:rPr>
          <w:rFonts w:ascii="Helvetica" w:hAnsi="Helvetica" w:eastAsia="Helvetica" w:cs="Helvetica"/>
        </w:rPr>
        <w:t>Count-up telemetry based only on inspectable portfolio scope: 15/15 AI use cases, 25/25 diligence paths, 20/20 vendor-risk questions, 15/15 control/evidence domains.</w:t>
      </w:r>
    </w:p>
    <w:p>
      <w:pPr>
        <w:pStyle w:val="Heading2"/>
      </w:pPr>
      <w:r>
        <w:rPr>
          <w:rFonts w:ascii="Helvetica" w:hAnsi="Helvetica" w:eastAsia="Helvetica" w:cs="Helvetica"/>
        </w:rPr>
        <w:t>TPRMDecisionTree</w:t>
      </w:r>
    </w:p>
    <w:p>
      <w:r>
        <w:rPr>
          <w:rFonts w:ascii="Helvetica" w:hAnsi="Helvetica" w:eastAsia="Helvetica" w:cs="Helvetica"/>
        </w:rPr>
        <w:t>Step-through criticality, data-exposure and evidence-quality logic producing a scrutiny/decision path.</w:t>
      </w:r>
    </w:p>
    <w:p>
      <w:pPr>
        <w:pStyle w:val="Heading2"/>
      </w:pPr>
      <w:r>
        <w:rPr>
          <w:rFonts w:ascii="Helvetica" w:hAnsi="Helvetica" w:eastAsia="Helvetica" w:cs="Helvetica"/>
        </w:rPr>
        <w:t>PortfolioDomainDonut</w:t>
      </w:r>
    </w:p>
    <w:p>
      <w:r>
        <w:rPr>
          <w:rFonts w:ascii="Helvetica" w:hAnsi="Helvetica" w:eastAsia="Helvetica" w:cs="Helvetica"/>
        </w:rPr>
        <w:t>SVG domain mix of the 10 governance systems.</w:t>
      </w:r>
    </w:p>
    <w:p>
      <w:pPr>
        <w:pStyle w:val="Heading2"/>
      </w:pPr>
      <w:r>
        <w:rPr>
          <w:rFonts w:ascii="Helvetica" w:hAnsi="Helvetica" w:eastAsia="Helvetica" w:cs="Helvetica"/>
        </w:rPr>
        <w:t>ExecutiveRiskPanel</w:t>
      </w:r>
    </w:p>
    <w:p>
      <w:r>
        <w:rPr>
          <w:rFonts w:ascii="Helvetica" w:hAnsi="Helvetica" w:eastAsia="Helvetica" w:cs="Helvetica"/>
        </w:rPr>
        <w:t>Modeled risk-register totals and open/monitor states with explicit non-client disclaimer.</w:t>
      </w:r>
    </w:p>
    <w:p>
      <w:pPr>
        <w:pStyle w:val="Heading1"/>
      </w:pPr>
      <w:r>
        <w:rPr>
          <w:rFonts w:ascii="Helvetica" w:hAnsi="Helvetica" w:eastAsia="Helvetica" w:cs="Helvetica"/>
        </w:rPr>
        <w:t>06 — Social links</w:t>
      </w:r>
    </w:p>
    <w:p>
      <w:r>
        <w:rPr>
          <w:rFonts w:ascii="Helvetica" w:hAnsi="Helvetica" w:eastAsia="Helvetica" w:cs="Helvetica"/>
        </w:rPr>
        <w:t>Edit data/portfolio.ts → siteConfig.social. LinkedIn, GitHub, X, Instagram and Facebook appear only inside the AAO header profile. Set siteConfig.social.whatsapp to a real wa.me or WhatsApp URL when you want it public. Until then the row reads “Not published”.</w:t>
      </w:r>
    </w:p>
    <w:p>
      <w:pPr>
        <w:pStyle w:val="Heading1"/>
      </w:pPr>
      <w:r>
        <w:rPr>
          <w:rFonts w:ascii="Helvetica" w:hAnsi="Helvetica" w:eastAsia="Helvetica" w:cs="Helvetica"/>
        </w:rPr>
        <w:t>07 — Evidence assets</w:t>
      </w:r>
    </w:p>
    <w:p>
      <w:r>
        <w:rPr>
          <w:rFonts w:ascii="Helvetica" w:hAnsi="Helvetica" w:eastAsia="Helvetica" w:cs="Helvetica"/>
        </w:rPr>
        <w:t>• Resume: /public/career-assets/Md_Abdullah_Al_Owasi_Resume.docx</w:t>
      </w:r>
    </w:p>
    <w:p>
      <w:r>
        <w:rPr>
          <w:rFonts w:ascii="Helvetica" w:hAnsi="Helvetica" w:eastAsia="Helvetica" w:cs="Helvetica"/>
        </w:rPr>
        <w:t>• Portfolio: /public/career-assets/Md_Abdullah_Al_Owasi_Portfolio.docx</w:t>
      </w:r>
    </w:p>
    <w:p>
      <w:r>
        <w:rPr>
          <w:rFonts w:ascii="Helvetica" w:hAnsi="Helvetica" w:eastAsia="Helvetica" w:cs="Helvetica"/>
        </w:rPr>
        <w:t>• Evidence workbook: /public/artifacts/Governance_Evidence_Workbook.xlsx</w:t>
      </w:r>
    </w:p>
    <w:p>
      <w:r>
        <w:rPr>
          <w:rFonts w:ascii="Helvetica" w:hAnsi="Helvetica" w:eastAsia="Helvetica" w:cs="Helvetica"/>
        </w:rPr>
        <w:t>• Evidence matrix: /public/artifacts/Governance_Evidence_Matrix.xlsx</w:t>
      </w:r>
    </w:p>
    <w:p>
      <w:pPr>
        <w:pStyle w:val="Heading1"/>
      </w:pPr>
      <w:r>
        <w:rPr>
          <w:rFonts w:ascii="Helvetica" w:hAnsi="Helvetica" w:eastAsia="Helvetica" w:cs="Helvetica"/>
        </w:rPr>
        <w:t>08 — Validation gate</w:t>
      </w:r>
    </w:p>
    <w:p>
      <w:pPr>
        <w:pStyle w:val="NoSpacing"/>
        <w:spacing w:after="0" w:line="240" w:lineRule="auto"/>
      </w:pPr>
      <w:r>
        <w:rPr>
          <w:rFonts w:ascii="Consolas" w:hAnsi="Consolas" w:eastAsia="Consolas" w:cs="Consolas"/>
          <w:color w:val="25312E"/>
          <w:sz w:val="14"/>
        </w:rPr>
        <w:t>npm install</w:t>
        <w:br/>
      </w:r>
      <w:r>
        <w:rPr>
          <w:rFonts w:ascii="Consolas" w:hAnsi="Consolas" w:eastAsia="Consolas" w:cs="Consolas"/>
          <w:color w:val="25312E"/>
          <w:sz w:val="14"/>
        </w:rPr>
        <w:t>npm run sync:copy   # only after editing Website_Content_Guide.docx</w:t>
        <w:br/>
      </w:r>
      <w:r>
        <w:rPr>
          <w:rFonts w:ascii="Consolas" w:hAnsi="Consolas" w:eastAsia="Consolas" w:cs="Consolas"/>
          <w:color w:val="25312E"/>
          <w:sz w:val="14"/>
        </w:rPr>
        <w:t>npm run lint</w:t>
        <w:br/>
      </w:r>
      <w:r>
        <w:rPr>
          <w:rFonts w:ascii="Consolas" w:hAnsi="Consolas" w:eastAsia="Consolas" w:cs="Consolas"/>
          <w:color w:val="25312E"/>
          <w:sz w:val="14"/>
        </w:rPr>
        <w:t>npm run build</w:t>
        <w:br/>
      </w:r>
    </w:p>
    <w:p>
      <w:r>
        <w:rPr>
          <w:rFonts w:ascii="Helvetica" w:hAnsi="Helvetica" w:eastAsia="Helvetica" w:cs="Helvetica"/>
        </w:rPr>
        <w:t>Do not deploy after a failed lint/build. The static-export output is generated only after Next.js completes the build.</w:t>
      </w:r>
    </w:p>
    <w:p>
      <w:pPr>
        <w:pStyle w:val="Heading1"/>
      </w:pPr>
      <w:r>
        <w:rPr>
          <w:rFonts w:ascii="Helvetica" w:hAnsi="Helvetica" w:eastAsia="Helvetica" w:cs="Helvetica"/>
        </w:rPr>
        <w:t>09 — Full source map</w:t>
      </w:r>
    </w:p>
    <w:p>
      <w:r>
        <w:rPr>
          <w:rFonts w:ascii="Helvetica" w:hAnsi="Helvetica" w:eastAsia="Helvetica" w:cs="Helvetica"/>
        </w:rPr>
        <w:t>For every editable source/config file with exact paths and line-numbered contents, open Website_Source_Reference.docx.</w:t>
      </w:r>
    </w:p>
    <w:sectPr w:rsidR="00FC693F" w:rsidRPr="0006063C" w:rsidSect="00034616">
      <w:pgSz w:w="12240" w:h="15840"/>
      <w:pgMar w:top="835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/>
    </w:pPr>
    <w:rPr>
      <w:rFonts w:ascii="Helvetica" w:hAnsi="Helvetica" w:eastAsia="Helvetica" w:cs="Helvetica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eastAsia="Helvetica" w:cs="Helvetic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elvetica" w:hAnsi="Helvetica" w:eastAsia="Helvetica" w:cs="Helvetic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eastAsia="Helvetica" w:cs="Helvetic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elvetica" w:hAnsi="Helvetica" w:eastAsia="Helvetica" w:cs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07100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0F76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0F766E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 w:eastAsia="Helvetica" w:cs="Helvetic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elvetica" w:hAnsi="Helvetica" w:eastAsia="Helvetica" w:cs="Helvetic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elvetica" w:hAnsi="Helvetica" w:eastAsia="Helvetica" w:cs="Helvetic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elvetica" w:hAnsi="Helvetica" w:eastAsia="Helvetica" w:cs="Helvetica"/>
    </w:rPr>
  </w:style>
  <w:style w:type="table" w:default="1" w:styleId="TableNormal">
    <w:name w:val="Normal Table"/>
    <w:uiPriority w:val="99"/>
    <w:semiHidden/>
    <w:unhideWhenUsed/>
    <w:rPr>
      <w:rFonts w:ascii="Helvetica" w:hAnsi="Helvetica" w:eastAsia="Helvetica" w:cs="Helvetic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nsolas" w:hAnsi="Consolas" w:eastAsia="Consolas" w:cs="Consola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lvetica" w:hAnsi="Helvetica" w:eastAsia="Helvetica" w:cs="Helvetica"/>
      <w:b/>
      <w:color w:val="07100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elvetica" w:hAnsi="Helvetica" w:eastAsia="Helvetica" w:cs="Helvetic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elvetica" w:hAnsi="Helvetica" w:eastAsia="Helvetica" w:cs="Helvetic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lvetica" w:hAnsi="Helvetica" w:eastAsia="Helvetica" w:cs="Helvetic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elvetica" w:hAnsi="Helvetica" w:eastAsia="Helvetica" w:cs="Helvetic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elvetica" w:hAnsi="Helvetica" w:eastAsia="Helvetica" w:cs="Helvetic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elvetica" w:hAnsi="Helvetica" w:eastAsia="Helvetica" w:cs="Helvetic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elvetica" w:hAnsi="Helvetica" w:eastAsia="Helvetica" w:cs="Helvetic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elvetica" w:hAnsi="Helvetica" w:eastAsia="Helvetica" w:cs="Helvetic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elvetica" w:hAnsi="Helvetica" w:eastAsia="Helvetica" w:cs="Helvetic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elvetica" w:hAnsi="Helvetica" w:eastAsia="Helvetica" w:cs="Helvetic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elvetica" w:hAnsi="Helvetica" w:eastAsia="Helvetica" w:cs="Helvetic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lvetica" w:hAnsi="Helvetica" w:eastAsia="Helvetica" w:cs="Helvetic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lvetica" w:hAnsi="Helvetica" w:eastAsia="Helvetica" w:cs="Helvetic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elvetica" w:hAnsi="Helvetica" w:eastAsia="Helvetica" w:cs="Helvetic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lvetica" w:hAnsi="Helvetica" w:eastAsia="Helvetica" w:cs="Helvetic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elvetica" w:hAnsi="Helvetica" w:eastAsia="Helvetica" w:cs="Helvetic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elvetica" w:hAnsi="Helvetica" w:eastAsia="Helvetica" w:cs="Helvetic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elvetica" w:hAnsi="Helvetica" w:eastAsia="Helvetica" w:cs="Helvetic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elvetica" w:hAnsi="Helvetica" w:eastAsia="Helvetica" w:cs="Helvetic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elvetica" w:hAnsi="Helvetica" w:eastAsia="Helvetica" w:cs="Helvetic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" w:hAnsi="Helvetica" w:eastAsia="Helvetica" w:cs="Helvetic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" w:hAnsi="Helvetica" w:eastAsia="Helvetica" w:cs="Helvetic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elvetica" w:hAnsi="Helvetica" w:eastAsia="Helvetica" w:cs="Helvetic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elvetica" w:hAnsi="Helvetica" w:eastAsia="Helvetica" w:cs="Helvetic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lvetica" w:hAnsi="Helvetica" w:eastAsia="Helvetica" w:cs="Helvetic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elvetica" w:hAnsi="Helvetica" w:eastAsia="Helvetica" w:cs="Helvetic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elvetica" w:hAnsi="Helvetica" w:eastAsia="Helvetica" w:cs="Helvetic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elvetica" w:hAnsi="Helvetica" w:eastAsia="Helvetica" w:cs="Helvetic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elvetica" w:hAnsi="Helvetica" w:eastAsia="Helvetica" w:cs="Helvetic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elvetica" w:hAnsi="Helvetica" w:eastAsia="Helvetica" w:cs="Helvetic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elvetica" w:hAnsi="Helvetica" w:eastAsia="Helvetica" w:cs="Helvetic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elvetica" w:hAnsi="Helvetica" w:eastAsia="Helvetica" w:cs="Helvetic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elvetica" w:hAnsi="Helvetica" w:eastAsia="Helvetica" w:cs="Helveti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