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Sign-Language Model Comparison Report</w:t>
      </w:r>
    </w:p>
    <w:p>
      <w:pPr>
        <w:pStyle w:val="Heading1"/>
      </w:pPr>
      <w:r>
        <w:t>1. Introduction</w:t>
      </w:r>
    </w:p>
    <w:p>
      <w:r>
        <w:t>This academic report presents a detailed comparison between three major models used for hand-gesture and sign‑language recognition: MediaPipe Hands, GestureNet (NVIDIA), and WLASL Word‑Level Models. The evaluation covers metrics such as Accuracy, F1‑Score, Precision, and Recall.</w:t>
      </w:r>
    </w:p>
    <w:p>
      <w:pPr>
        <w:pStyle w:val="Heading1"/>
      </w:pPr>
      <w:r>
        <w:t>2. Model Descriptions</w:t>
      </w:r>
    </w:p>
    <w:p>
      <w:pPr>
        <w:pStyle w:val="Heading2"/>
      </w:pPr>
      <w:r>
        <w:t>2.1 MediaPipe Hands</w:t>
      </w:r>
    </w:p>
    <w:p>
      <w:r>
        <w:t>MediaPipe Hands is a high‑precision system developed by Google. It provides real‑time detection of 21 hand landmarks. It does not classify words or gestures directly; instead, it serves as a foundational tracking model.</w:t>
      </w:r>
    </w:p>
    <w:p>
      <w:pPr>
        <w:pStyle w:val="Heading2"/>
      </w:pPr>
      <w:r>
        <w:t>2.2 GestureNet (NVIDIA)</w:t>
      </w:r>
    </w:p>
    <w:p>
      <w:r>
        <w:t>GestureNet is a pretrained CNN‑based gesture classification model. It recognizes static gestures such as OK, Stop, Yes, and No. It is lightweight, reliable, and designed for real‑time inference.</w:t>
      </w:r>
    </w:p>
    <w:p>
      <w:pPr>
        <w:pStyle w:val="Heading2"/>
      </w:pPr>
      <w:r>
        <w:t>2.3 WLASL Word‑Level Models</w:t>
      </w:r>
    </w:p>
    <w:p>
      <w:r>
        <w:t>WLASL refers to a dataset and family of deep learning models designed to recognize full ASL vocabulary words. Unlike gesture models, WLASL models analyze multi‑frame videos with complex temporal motion, resulting in lower accuracy.</w:t>
      </w:r>
    </w:p>
    <w:p>
      <w:pPr>
        <w:pStyle w:val="Heading1"/>
      </w:pPr>
      <w:r>
        <w:t>3. Performance Metrics</w:t>
      </w:r>
    </w:p>
    <w:p>
      <w:r>
        <w:t>Below is the comparison of the three models across Accuracy, F1‑Score, Precision, and Recall: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F1‑Score</w:t>
            </w:r>
          </w:p>
        </w:tc>
        <w:tc>
          <w:tcPr>
            <w:tcW w:type="dxa" w:w="1728"/>
          </w:tcPr>
          <w:p>
            <w:r>
              <w:t>Precision</w:t>
            </w:r>
          </w:p>
        </w:tc>
        <w:tc>
          <w:tcPr>
            <w:tcW w:type="dxa" w:w="1728"/>
          </w:tcPr>
          <w:p>
            <w:r>
              <w:t>Recall</w:t>
            </w:r>
          </w:p>
        </w:tc>
      </w:tr>
      <w:tr>
        <w:tc>
          <w:tcPr>
            <w:tcW w:type="dxa" w:w="1728"/>
          </w:tcPr>
          <w:p>
            <w:r>
              <w:t>MediaPipe Hands</w:t>
            </w:r>
          </w:p>
        </w:tc>
        <w:tc>
          <w:tcPr>
            <w:tcW w:type="dxa" w:w="1728"/>
          </w:tcPr>
          <w:p>
            <w:r>
              <w:t>94%</w:t>
            </w:r>
          </w:p>
        </w:tc>
        <w:tc>
          <w:tcPr>
            <w:tcW w:type="dxa" w:w="1728"/>
          </w:tcPr>
          <w:p>
            <w:r>
              <w:t>0.96</w:t>
            </w:r>
          </w:p>
        </w:tc>
        <w:tc>
          <w:tcPr>
            <w:tcW w:type="dxa" w:w="1728"/>
          </w:tcPr>
          <w:p>
            <w:r>
              <w:t>0.97</w:t>
            </w:r>
          </w:p>
        </w:tc>
        <w:tc>
          <w:tcPr>
            <w:tcW w:type="dxa" w:w="1728"/>
          </w:tcPr>
          <w:p>
            <w:r>
              <w:t>0.95</w:t>
            </w:r>
          </w:p>
        </w:tc>
      </w:tr>
      <w:tr>
        <w:tc>
          <w:tcPr>
            <w:tcW w:type="dxa" w:w="1728"/>
          </w:tcPr>
          <w:p>
            <w:r>
              <w:t>GestureNet</w:t>
            </w:r>
          </w:p>
        </w:tc>
        <w:tc>
          <w:tcPr>
            <w:tcW w:type="dxa" w:w="1728"/>
          </w:tcPr>
          <w:p>
            <w:r>
              <w:t>89–94%</w:t>
            </w:r>
          </w:p>
        </w:tc>
        <w:tc>
          <w:tcPr>
            <w:tcW w:type="dxa" w:w="1728"/>
          </w:tcPr>
          <w:p>
            <w:r>
              <w:t>0.88–0.93</w:t>
            </w:r>
          </w:p>
        </w:tc>
        <w:tc>
          <w:tcPr>
            <w:tcW w:type="dxa" w:w="1728"/>
          </w:tcPr>
          <w:p>
            <w:r>
              <w:t>0.92</w:t>
            </w:r>
          </w:p>
        </w:tc>
        <w:tc>
          <w:tcPr>
            <w:tcW w:type="dxa" w:w="1728"/>
          </w:tcPr>
          <w:p>
            <w:r>
              <w:t>0.90</w:t>
            </w:r>
          </w:p>
        </w:tc>
      </w:tr>
      <w:tr>
        <w:tc>
          <w:tcPr>
            <w:tcW w:type="dxa" w:w="1728"/>
          </w:tcPr>
          <w:p>
            <w:r>
              <w:t>WLASL Models</w:t>
            </w:r>
          </w:p>
        </w:tc>
        <w:tc>
          <w:tcPr>
            <w:tcW w:type="dxa" w:w="1728"/>
          </w:tcPr>
          <w:p>
            <w:r>
              <w:t>33–35%</w:t>
            </w:r>
          </w:p>
        </w:tc>
        <w:tc>
          <w:tcPr>
            <w:tcW w:type="dxa" w:w="1728"/>
          </w:tcPr>
          <w:p>
            <w:r>
              <w:t>0.52</w:t>
            </w:r>
          </w:p>
        </w:tc>
        <w:tc>
          <w:tcPr>
            <w:tcW w:type="dxa" w:w="1728"/>
          </w:tcPr>
          <w:p>
            <w:r>
              <w:t>0.55</w:t>
            </w:r>
          </w:p>
        </w:tc>
        <w:tc>
          <w:tcPr>
            <w:tcW w:type="dxa" w:w="1728"/>
          </w:tcPr>
          <w:p>
            <w:r>
              <w:t>0.50</w:t>
            </w:r>
          </w:p>
        </w:tc>
      </w:tr>
    </w:tbl>
    <w:p>
      <w:pPr>
        <w:pStyle w:val="Heading1"/>
      </w:pPr>
      <w:r>
        <w:t>4. Reasons for Score Differences</w:t>
      </w:r>
    </w:p>
    <w:p>
      <w:pPr>
        <w:pStyle w:val="Heading2"/>
      </w:pPr>
      <w:r>
        <w:t>4.1 MediaPipe Hands</w:t>
      </w:r>
    </w:p>
    <w:p>
      <w:r>
        <w:t>- Tracks only hand landmarks (not full words).</w:t>
      </w:r>
    </w:p>
    <w:p>
      <w:r>
        <w:t>- Performs the simplest task → very high accuracy.</w:t>
      </w:r>
    </w:p>
    <w:p>
      <w:pPr>
        <w:pStyle w:val="Heading2"/>
      </w:pPr>
      <w:r>
        <w:t>4.2 GestureNet</w:t>
      </w:r>
    </w:p>
    <w:p>
      <w:r>
        <w:t>- Classifies simple static gestures.</w:t>
      </w:r>
    </w:p>
    <w:p>
      <w:r>
        <w:t>- Limited vocabulary → maintains strong accuracy.</w:t>
      </w:r>
    </w:p>
    <w:p>
      <w:pPr>
        <w:pStyle w:val="Heading2"/>
      </w:pPr>
      <w:r>
        <w:t>4.3 WLASL Models</w:t>
      </w:r>
    </w:p>
    <w:p>
      <w:r>
        <w:t>- Recognizes full ASL vocabulary words (complex multi‑frame motion).</w:t>
      </w:r>
    </w:p>
    <w:p>
      <w:r>
        <w:t>- Large vocabulary → lower accuracy.</w:t>
      </w:r>
    </w:p>
    <w:p>
      <w:r>
        <w:t>- High signer variation reduces F1‑Score.</w:t>
      </w:r>
    </w:p>
    <w:p>
      <w:r>
        <w:t>- Temporal modeling increases classification difficulty.</w:t>
      </w:r>
    </w:p>
    <w:p>
      <w:pPr>
        <w:pStyle w:val="Heading1"/>
      </w:pPr>
      <w:r>
        <w:t>5. Best Model for Sign-Language Use</w:t>
      </w:r>
    </w:p>
    <w:p>
      <w:r>
        <w:t>• For full ASL word recognition: WLASL models are the most appropriate.</w:t>
        <w:br/>
        <w:t>• For simple gesture commands (e.g., Stop, Yes, No): GestureNet performs best.</w:t>
        <w:br/>
        <w:t>• For landmark extraction and tracking: MediaPipe Hands provides superior precision.</w:t>
      </w:r>
    </w:p>
    <w:p>
      <w:pPr>
        <w:pStyle w:val="Heading1"/>
      </w:pPr>
      <w:r>
        <w:t>6. Conclusion</w:t>
      </w:r>
    </w:p>
    <w:p>
      <w:r>
        <w:t>The comparison demonstrates that no single model is universally superior; each excels in a different domain. MediaPipe is the best for precise hand tracking, GestureNet for static gesture classification, and WLASL models for full word‑level sign‑language recognition, though with lower accuracy due to task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