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F3864"/>
          <w:sz w:val="48"/>
        </w:rPr>
        <w:t>MEMORY FORENSICS AI TRIAGE DASHBOARD</w:t>
      </w:r>
    </w:p>
    <w:p>
      <w:pPr>
        <w:spacing w:after="320"/>
      </w:pPr>
      <w:r>
        <w:rPr>
          <w:rFonts w:ascii="Calibri" w:hAnsi="Calibri"/>
          <w:i/>
          <w:color w:val="555555"/>
          <w:sz w:val="26"/>
        </w:rPr>
        <w:t>Comprehensive Project Technical Guide &amp; Viva Defense Preparation Dossier</w:t>
        <w:br/>
        <w:t>Explainable AI (XAI) Memory Forensics Framework with SHAP &amp; LIME</w:t>
      </w:r>
    </w:p>
    <w:tbl>
      <w:tblPr>
        <w:tblW w:type="auto" w:w="0"/>
        <w:jc w:val="center"/>
        <w:tblLook w:firstColumn="1" w:firstRow="1" w:lastColumn="0" w:lastRow="0" w:noHBand="0" w:noVBand="1" w:val="04A0"/>
      </w:tblPr>
      <w:tblGrid>
        <w:gridCol w:w="2340"/>
        <w:gridCol w:w="2340"/>
        <w:gridCol w:w="2340"/>
        <w:gridCol w:w="2340"/>
      </w:tblGrid>
      <w:tr>
        <w:tc>
          <w:tcPr>
            <w:tcW w:type="dxa" w:w="2340"/>
            <w:shd w:fill="EBF1F5"/>
            <w:tcMar>
              <w:top w:w="80" w:type="dxa"/>
              <w:bottom w:w="80" w:type="dxa"/>
              <w:left w:w="100" w:type="dxa"/>
              <w:right w:w="100" w:type="dxa"/>
            </w:tcMar>
          </w:tcPr>
          <w:p>
            <w:pPr>
              <w:jc w:val="center"/>
            </w:pPr>
            <w:r>
              <w:rPr>
                <w:b/>
                <w:color w:val="1F3864"/>
                <w:sz w:val="18"/>
              </w:rPr>
              <w:t>Project Type</w:t>
              <w:br/>
            </w:r>
            <w:r>
              <w:rPr>
                <w:color w:val="111111"/>
                <w:sz w:val="19"/>
              </w:rPr>
              <w:t>Final Year Research / Defense</w:t>
            </w:r>
          </w:p>
        </w:tc>
        <w:tc>
          <w:tcPr>
            <w:tcW w:type="dxa" w:w="2340"/>
            <w:shd w:fill="EBF1F5"/>
            <w:tcMar>
              <w:top w:w="80" w:type="dxa"/>
              <w:bottom w:w="80" w:type="dxa"/>
              <w:left w:w="100" w:type="dxa"/>
              <w:right w:w="100" w:type="dxa"/>
            </w:tcMar>
          </w:tcPr>
          <w:p>
            <w:pPr>
              <w:jc w:val="center"/>
            </w:pPr>
            <w:r>
              <w:rPr>
                <w:b/>
                <w:color w:val="1F3864"/>
                <w:sz w:val="18"/>
              </w:rPr>
              <w:t>Core Algorithm</w:t>
              <w:br/>
            </w:r>
            <w:r>
              <w:rPr>
                <w:color w:val="111111"/>
                <w:sz w:val="19"/>
              </w:rPr>
              <w:t>Random Forest + Isolation Forest</w:t>
            </w:r>
          </w:p>
        </w:tc>
        <w:tc>
          <w:tcPr>
            <w:tcW w:type="dxa" w:w="2340"/>
            <w:shd w:fill="EBF1F5"/>
            <w:tcMar>
              <w:top w:w="80" w:type="dxa"/>
              <w:bottom w:w="80" w:type="dxa"/>
              <w:left w:w="100" w:type="dxa"/>
              <w:right w:w="100" w:type="dxa"/>
            </w:tcMar>
          </w:tcPr>
          <w:p>
            <w:pPr>
              <w:jc w:val="center"/>
            </w:pPr>
            <w:r>
              <w:rPr>
                <w:b/>
                <w:color w:val="1F3864"/>
                <w:sz w:val="18"/>
              </w:rPr>
              <w:t>Explainability</w:t>
              <w:br/>
            </w:r>
            <w:r>
              <w:rPr>
                <w:color w:val="111111"/>
                <w:sz w:val="19"/>
              </w:rPr>
              <w:t>Dual XAI (SHAP + LIME)</w:t>
            </w:r>
          </w:p>
        </w:tc>
        <w:tc>
          <w:tcPr>
            <w:tcW w:type="dxa" w:w="2340"/>
            <w:shd w:fill="EBF1F5"/>
            <w:tcMar>
              <w:top w:w="80" w:type="dxa"/>
              <w:bottom w:w="80" w:type="dxa"/>
              <w:left w:w="100" w:type="dxa"/>
              <w:right w:w="100" w:type="dxa"/>
            </w:tcMar>
          </w:tcPr>
          <w:p>
            <w:pPr>
              <w:jc w:val="center"/>
            </w:pPr>
            <w:r>
              <w:rPr>
                <w:b/>
                <w:color w:val="1F3864"/>
                <w:sz w:val="18"/>
              </w:rPr>
              <w:t>Evaluation Metric</w:t>
              <w:br/>
            </w:r>
            <w:r>
              <w:rPr>
                <w:color w:val="111111"/>
                <w:sz w:val="19"/>
              </w:rPr>
              <w:t>99.99% Accuracy / 1.00 ROC-AUC</w:t>
            </w:r>
          </w:p>
        </w:tc>
      </w:tr>
    </w:tbl>
    <w:p>
      <w:pPr>
        <w:spacing w:after="240"/>
      </w:pPr>
    </w:p>
    <w:p>
      <w:pPr>
        <w:pStyle w:val="Heading1"/>
        <w:spacing w:before="240" w:after="120"/>
      </w:pPr>
      <w:r>
        <w:t>1. The 60-Second Viva Elevator Pitch (How to Introduce Your Project)</w:t>
      </w:r>
    </w:p>
    <w:tbl>
      <w:tblPr>
        <w:tblW w:type="auto" w:w="0"/>
        <w:jc w:val="center"/>
        <w:tblLook w:firstColumn="1" w:firstRow="1" w:lastColumn="0" w:lastRow="0" w:noHBand="0" w:noVBand="1" w:val="04A0"/>
      </w:tblPr>
      <w:tblGrid>
        <w:gridCol w:w="9360"/>
      </w:tblGrid>
      <w:tr>
        <w:tc>
          <w:tcPr>
            <w:tcW w:type="dxa" w:w="9360"/>
            <w:shd w:fill="F2F4F8"/>
            <w:tcMar>
              <w:top w:w="120" w:type="dxa"/>
              <w:bottom w:w="120" w:type="dxa"/>
              <w:left w:w="180" w:type="dxa"/>
              <w:right w:w="180" w:type="dxa"/>
            </w:tcMar>
            <w:tcBorders>
              <w:left w:val="single" w:sz="24" w:space="0" w:color="1F3864"/>
              <w:top w:val="none"/>
              <w:right w:val="none"/>
              <w:bottom w:val="none"/>
            </w:tcBorders>
          </w:tcPr>
          <w:p>
            <w:pPr>
              <w:spacing w:before="40" w:after="80"/>
            </w:pPr>
            <w:r>
              <w:rPr>
                <w:rFonts w:ascii="Calibri" w:hAnsi="Calibri"/>
                <w:b/>
                <w:color w:val="1F3864"/>
                <w:sz w:val="22"/>
              </w:rPr>
              <w:t>📌 What to Say to Your Professor / Examiner Word-for-Word:</w:t>
              <w:br/>
            </w:r>
            <w:r>
              <w:rPr>
                <w:rFonts w:ascii="Calibri" w:hAnsi="Calibri"/>
                <w:i/>
                <w:color w:val="333333"/>
                <w:sz w:val="21"/>
              </w:rPr>
              <w:t>"Sir, modern malware—such as fileless ransomware, stealth rootkits, and Cobalt Strike beacons—increasingly avoids the hard drive completely and operates solely in volatile memory (RAM). Traditional forensic examination of 16GB–64GB RAM dumps with manual Volatility plugins takes hours and requires deep reverse-engineering expertise.</w:t>
              <w:br/>
              <w:br/>
              <w:t>In this project, I developed an Autonomous Explainable AI Memory Forensics Triage System. The system ingests volatile memory profiles containing 55 kernel and process telemetry artifacts. Using a tuned Random Forest classifier, it categorizes memory profiles into Benign or Malicious with over 99.9% accuracy and cross-validated F1-score.</w:t>
              <w:br/>
              <w:br/>
              <w:t>Crucially, in cyber forensics, an AI decision is useless without proof. To solve the 'AI Black Box' dilemma, I implemented a Dual Explainable AI (XAI) Framework combining SHAP (global cooperative game theory) and LIME (local surrogate decision rules), corroborated by a Plain-English Forensic Translation Engine. The entire system is deployed via an interactive Streamlit dashboard featuring SHA-256 chain-of-custody audit logging and automated PDF incident dossier generation for incident response teams."</w:t>
            </w:r>
          </w:p>
        </w:tc>
      </w:tr>
    </w:tbl>
    <w:p>
      <w:pPr>
        <w:spacing w:after="80"/>
      </w:pPr>
    </w:p>
    <w:p>
      <w:pPr>
        <w:pStyle w:val="Heading1"/>
        <w:spacing w:before="280" w:after="120"/>
      </w:pPr>
      <w:r>
        <w:t>2. High-Level Architecture &amp; End-to-End Workflow</w:t>
      </w:r>
    </w:p>
    <w:p>
      <w:r>
        <w:t>The project operates as an end-to-end autonomous triage pipeline that transforms raw volatile memory dump telemetry into actionable, legally admissible forensic intelligence. The complete system follows a 7-stage workflow:</w:t>
      </w:r>
    </w:p>
    <w:p>
      <w:pPr>
        <w:spacing w:after="80"/>
        <w:ind w:left="360"/>
      </w:pPr>
      <w:r>
        <w:rPr>
          <w:b/>
          <w:color w:val="1F3864"/>
        </w:rPr>
        <w:t xml:space="preserve">• Stage 1: Evidence Ingestion &amp; Pre-flight Gating: </w:t>
      </w:r>
      <w:r>
        <w:t>The analyst either uploads a Volatility-extracted memory profile (CSV) or selects a pre-packaged live forensic baseline. The system validates schema structure, aligns all 55 required feature headers, and imputes null values using validate_input.py.</w:t>
      </w:r>
    </w:p>
    <w:p>
      <w:pPr>
        <w:spacing w:after="80"/>
        <w:ind w:left="360"/>
      </w:pPr>
      <w:r>
        <w:rPr>
          <w:b/>
          <w:color w:val="1F3864"/>
        </w:rPr>
        <w:t xml:space="preserve">• Stage 2: Dual Ensemble Inference Engine: </w:t>
      </w:r>
      <w:r>
        <w:t>The memory profile is passed through two complementary machine learning engines: (1) Random Forest Classifier (150 trees) predicting binary infection probability, and (2) Isolation Forest Anomaly Detector checking whether the profile deviates from known behavioral clusters (Zero-Day threat detector).</w:t>
      </w:r>
    </w:p>
    <w:p>
      <w:pPr>
        <w:spacing w:after="80"/>
        <w:ind w:left="360"/>
      </w:pPr>
      <w:r>
        <w:rPr>
          <w:b/>
          <w:color w:val="1F3864"/>
        </w:rPr>
        <w:t xml:space="preserve">• Stage 3: Risk Classification &amp; Triage Tiering: </w:t>
      </w:r>
      <w:r>
        <w:t>Based on probability thresholds, samples are placed into operational incident tiers: NORMAL (&lt; 40% probability), SUSPICIOUS (40% - 75%), or HIGH RISK (&gt;= 75%).</w:t>
      </w:r>
    </w:p>
    <w:p>
      <w:pPr>
        <w:spacing w:after="80"/>
        <w:ind w:left="360"/>
      </w:pPr>
      <w:r>
        <w:rPr>
          <w:b/>
          <w:color w:val="1F3864"/>
        </w:rPr>
        <w:t xml:space="preserve">• Stage 4: Cryptographic Chain of Custody: </w:t>
      </w:r>
      <w:r>
        <w:t>Every triage execution computes a SHA-256 hash across filename, row index, and high-resolution timestamp (Evidence ID), appending an immutable entry to logs/triage_audit.log.</w:t>
      </w:r>
    </w:p>
    <w:p>
      <w:pPr>
        <w:spacing w:after="80"/>
        <w:ind w:left="360"/>
      </w:pPr>
      <w:r>
        <w:rPr>
          <w:b/>
          <w:color w:val="1F3864"/>
        </w:rPr>
        <w:t xml:space="preserve">• Stage 5: Dual XAI Explainability (SHAP + LIME): </w:t>
      </w:r>
      <w:r>
        <w:t>SHAP TreeExplainer computes mathematical Shapley attribution values across all 55 features. Concurrently, LIME generates local perturbation-based surrogate rules to provide independent local corroboration.</w:t>
      </w:r>
    </w:p>
    <w:p>
      <w:pPr>
        <w:spacing w:after="80"/>
        <w:ind w:left="360"/>
      </w:pPr>
      <w:r>
        <w:rPr>
          <w:b/>
          <w:color w:val="1F3864"/>
        </w:rPr>
        <w:t xml:space="preserve">• Stage 6: Plain-English Forensic Feature Translation: </w:t>
      </w:r>
      <w:r>
        <w:t>Raw kernel metric identifiers (e.g., malfind.ninjections, psxview.not_in_eprocess) are translated through FEATURE_MEANINGS into human-readable descriptions, danger context, and impact explanations for non-technical stakeholders.</w:t>
      </w:r>
    </w:p>
    <w:p>
      <w:pPr>
        <w:spacing w:after="80"/>
        <w:ind w:left="360"/>
      </w:pPr>
      <w:r>
        <w:rPr>
          <w:b/>
          <w:color w:val="1F3864"/>
        </w:rPr>
        <w:t xml:space="preserve">• Stage 7: Autonomous Incident Reporting &amp; Archival: </w:t>
      </w:r>
      <w:r>
        <w:t>A ReportLab PDF generation engine automatically compiles an official, executive Forensic Incident Dossier containing the triage verdict, chain-of-custody hash, top XAI decision drivers, and recommended response playbooks.</w:t>
      </w:r>
    </w:p>
    <w:p>
      <w:pPr>
        <w:pStyle w:val="Heading1"/>
        <w:spacing w:before="280" w:after="120"/>
      </w:pPr>
      <w:r>
        <w:t>3. Tools, Libraries &amp; Technology Stack</w:t>
      </w:r>
    </w:p>
    <w:tbl>
      <w:tblPr>
        <w:tblW w:type="auto" w:w="0"/>
        <w:jc w:val="center"/>
        <w:tblLook w:firstColumn="1" w:firstRow="1" w:lastColumn="0" w:lastRow="0" w:noHBand="0" w:noVBand="1" w:val="04A0"/>
      </w:tblPr>
      <w:tblGrid>
        <w:gridCol w:w="3120"/>
        <w:gridCol w:w="3120"/>
        <w:gridCol w:w="3120"/>
      </w:tblGrid>
      <w:tr>
        <w:tc>
          <w:tcPr>
            <w:tcW w:type="dxa" w:w="2160"/>
            <w:shd w:fill="1F3864"/>
            <w:tcMar>
              <w:top w:w="100" w:type="dxa"/>
              <w:bottom w:w="100" w:type="dxa"/>
              <w:left w:w="140" w:type="dxa"/>
              <w:right w:w="140" w:type="dxa"/>
            </w:tcMar>
          </w:tcPr>
          <w:p>
            <w:r>
              <w:rPr>
                <w:rFonts w:ascii="Calibri" w:hAnsi="Calibri"/>
                <w:b/>
                <w:color w:val="FFFFFF"/>
                <w:sz w:val="20"/>
              </w:rPr>
              <w:t>Tool / Library</w:t>
            </w:r>
          </w:p>
        </w:tc>
        <w:tc>
          <w:tcPr>
            <w:tcW w:type="dxa" w:w="2880"/>
            <w:shd w:fill="1F3864"/>
            <w:tcMar>
              <w:top w:w="100" w:type="dxa"/>
              <w:bottom w:w="100" w:type="dxa"/>
              <w:left w:w="140" w:type="dxa"/>
              <w:right w:w="140" w:type="dxa"/>
            </w:tcMar>
          </w:tcPr>
          <w:p>
            <w:r>
              <w:rPr>
                <w:rFonts w:ascii="Calibri" w:hAnsi="Calibri"/>
                <w:b/>
                <w:color w:val="FFFFFF"/>
                <w:sz w:val="20"/>
              </w:rPr>
              <w:t>Project Role</w:t>
            </w:r>
          </w:p>
        </w:tc>
        <w:tc>
          <w:tcPr>
            <w:tcW w:type="dxa" w:w="4320"/>
            <w:shd w:fill="1F3864"/>
            <w:tcMar>
              <w:top w:w="100" w:type="dxa"/>
              <w:bottom w:w="100" w:type="dxa"/>
              <w:left w:w="140" w:type="dxa"/>
              <w:right w:w="140" w:type="dxa"/>
            </w:tcMar>
          </w:tcPr>
          <w:p>
            <w:r>
              <w:rPr>
                <w:rFonts w:ascii="Calibri" w:hAnsi="Calibri"/>
                <w:b/>
                <w:color w:val="FFFFFF"/>
                <w:sz w:val="20"/>
              </w:rPr>
              <w:t>Technical Implementation Context</w:t>
            </w:r>
          </w:p>
        </w:tc>
      </w:tr>
      <w:tr>
        <w:tc>
          <w:tcPr>
            <w:tcW w:type="dxa" w:w="2160"/>
            <w:shd w:fill="F9FAFC"/>
            <w:tcMar>
              <w:top w:w="80" w:type="dxa"/>
              <w:bottom w:w="80" w:type="dxa"/>
              <w:left w:w="140" w:type="dxa"/>
              <w:right w:w="140" w:type="dxa"/>
            </w:tcMar>
          </w:tcPr>
          <w:p>
            <w:r>
              <w:rPr>
                <w:rFonts w:ascii="Calibri" w:hAnsi="Calibri"/>
                <w:color w:val="222222"/>
                <w:sz w:val="19"/>
              </w:rPr>
              <w:t>Python 3.11</w:t>
            </w:r>
          </w:p>
        </w:tc>
        <w:tc>
          <w:tcPr>
            <w:tcW w:type="dxa" w:w="2880"/>
            <w:shd w:fill="F9FAFC"/>
            <w:tcMar>
              <w:top w:w="80" w:type="dxa"/>
              <w:bottom w:w="80" w:type="dxa"/>
              <w:left w:w="140" w:type="dxa"/>
              <w:right w:w="140" w:type="dxa"/>
            </w:tcMar>
          </w:tcPr>
          <w:p>
            <w:r>
              <w:rPr>
                <w:rFonts w:ascii="Calibri" w:hAnsi="Calibri"/>
                <w:color w:val="222222"/>
                <w:sz w:val="19"/>
              </w:rPr>
              <w:t>Primary Programming Language</w:t>
            </w:r>
          </w:p>
        </w:tc>
        <w:tc>
          <w:tcPr>
            <w:tcW w:type="dxa" w:w="4320"/>
            <w:shd w:fill="F9FAFC"/>
            <w:tcMar>
              <w:top w:w="80" w:type="dxa"/>
              <w:bottom w:w="80" w:type="dxa"/>
              <w:left w:w="140" w:type="dxa"/>
              <w:right w:w="140" w:type="dxa"/>
            </w:tcMar>
          </w:tcPr>
          <w:p>
            <w:r>
              <w:rPr>
                <w:rFonts w:ascii="Calibri" w:hAnsi="Calibri"/>
                <w:color w:val="222222"/>
                <w:sz w:val="19"/>
              </w:rPr>
              <w:t>Core language used for model building, data processing, backend scripting, and UI integration.</w:t>
            </w:r>
          </w:p>
        </w:tc>
      </w:tr>
      <w:tr>
        <w:tc>
          <w:tcPr>
            <w:tcW w:type="dxa" w:w="2160"/>
            <w:shd w:fill="FFFFFF"/>
            <w:tcMar>
              <w:top w:w="80" w:type="dxa"/>
              <w:bottom w:w="80" w:type="dxa"/>
              <w:left w:w="140" w:type="dxa"/>
              <w:right w:w="140" w:type="dxa"/>
            </w:tcMar>
          </w:tcPr>
          <w:p>
            <w:r>
              <w:rPr>
                <w:rFonts w:ascii="Calibri" w:hAnsi="Calibri"/>
                <w:color w:val="222222"/>
                <w:sz w:val="19"/>
              </w:rPr>
              <w:t>Streamlit</w:t>
            </w:r>
          </w:p>
        </w:tc>
        <w:tc>
          <w:tcPr>
            <w:tcW w:type="dxa" w:w="2880"/>
            <w:shd w:fill="FFFFFF"/>
            <w:tcMar>
              <w:top w:w="80" w:type="dxa"/>
              <w:bottom w:w="80" w:type="dxa"/>
              <w:left w:w="140" w:type="dxa"/>
              <w:right w:w="140" w:type="dxa"/>
            </w:tcMar>
          </w:tcPr>
          <w:p>
            <w:r>
              <w:rPr>
                <w:rFonts w:ascii="Calibri" w:hAnsi="Calibri"/>
                <w:color w:val="222222"/>
                <w:sz w:val="19"/>
              </w:rPr>
              <w:t>Web Dashboard &amp; Interactive UI</w:t>
            </w:r>
          </w:p>
        </w:tc>
        <w:tc>
          <w:tcPr>
            <w:tcW w:type="dxa" w:w="4320"/>
            <w:shd w:fill="FFFFFF"/>
            <w:tcMar>
              <w:top w:w="80" w:type="dxa"/>
              <w:bottom w:w="80" w:type="dxa"/>
              <w:left w:w="140" w:type="dxa"/>
              <w:right w:w="140" w:type="dxa"/>
            </w:tcMar>
          </w:tcPr>
          <w:p>
            <w:r>
              <w:rPr>
                <w:rFonts w:ascii="Calibri" w:hAnsi="Calibri"/>
                <w:color w:val="222222"/>
                <w:sz w:val="19"/>
              </w:rPr>
              <w:t>Provides the reactive, dark-themed cyber forensic interface (app.py) for uploading files, interactive charts, and PDF download buttons.</w:t>
            </w:r>
          </w:p>
        </w:tc>
      </w:tr>
      <w:tr>
        <w:tc>
          <w:tcPr>
            <w:tcW w:type="dxa" w:w="2160"/>
            <w:shd w:fill="F9FAFC"/>
            <w:tcMar>
              <w:top w:w="80" w:type="dxa"/>
              <w:bottom w:w="80" w:type="dxa"/>
              <w:left w:w="140" w:type="dxa"/>
              <w:right w:w="140" w:type="dxa"/>
            </w:tcMar>
          </w:tcPr>
          <w:p>
            <w:r>
              <w:rPr>
                <w:rFonts w:ascii="Calibri" w:hAnsi="Calibri"/>
                <w:color w:val="222222"/>
                <w:sz w:val="19"/>
              </w:rPr>
              <w:t>Scikit-Learn</w:t>
            </w:r>
          </w:p>
        </w:tc>
        <w:tc>
          <w:tcPr>
            <w:tcW w:type="dxa" w:w="2880"/>
            <w:shd w:fill="F9FAFC"/>
            <w:tcMar>
              <w:top w:w="80" w:type="dxa"/>
              <w:bottom w:w="80" w:type="dxa"/>
              <w:left w:w="140" w:type="dxa"/>
              <w:right w:w="140" w:type="dxa"/>
            </w:tcMar>
          </w:tcPr>
          <w:p>
            <w:r>
              <w:rPr>
                <w:rFonts w:ascii="Calibri" w:hAnsi="Calibri"/>
                <w:color w:val="222222"/>
                <w:sz w:val="19"/>
              </w:rPr>
              <w:t>Machine Learning Core Engine</w:t>
            </w:r>
          </w:p>
        </w:tc>
        <w:tc>
          <w:tcPr>
            <w:tcW w:type="dxa" w:w="4320"/>
            <w:shd w:fill="F9FAFC"/>
            <w:tcMar>
              <w:top w:w="80" w:type="dxa"/>
              <w:bottom w:w="80" w:type="dxa"/>
              <w:left w:w="140" w:type="dxa"/>
              <w:right w:w="140" w:type="dxa"/>
            </w:tcMar>
          </w:tcPr>
          <w:p>
            <w:r>
              <w:rPr>
                <w:rFonts w:ascii="Calibri" w:hAnsi="Calibri"/>
                <w:color w:val="222222"/>
                <w:sz w:val="19"/>
              </w:rPr>
              <w:t>Implements RandomForestClassifier, IsolationForest, LogisticRegression, GradientBoosting, StratifiedKFold, and ROC/AUC metrics.</w:t>
            </w:r>
          </w:p>
        </w:tc>
      </w:tr>
      <w:tr>
        <w:tc>
          <w:tcPr>
            <w:tcW w:type="dxa" w:w="2160"/>
            <w:shd w:fill="FFFFFF"/>
            <w:tcMar>
              <w:top w:w="80" w:type="dxa"/>
              <w:bottom w:w="80" w:type="dxa"/>
              <w:left w:w="140" w:type="dxa"/>
              <w:right w:w="140" w:type="dxa"/>
            </w:tcMar>
          </w:tcPr>
          <w:p>
            <w:r>
              <w:rPr>
                <w:rFonts w:ascii="Calibri" w:hAnsi="Calibri"/>
                <w:color w:val="222222"/>
                <w:sz w:val="19"/>
              </w:rPr>
              <w:t>SHAP (Shapley)</w:t>
            </w:r>
          </w:p>
        </w:tc>
        <w:tc>
          <w:tcPr>
            <w:tcW w:type="dxa" w:w="2880"/>
            <w:shd w:fill="FFFFFF"/>
            <w:tcMar>
              <w:top w:w="80" w:type="dxa"/>
              <w:bottom w:w="80" w:type="dxa"/>
              <w:left w:w="140" w:type="dxa"/>
              <w:right w:w="140" w:type="dxa"/>
            </w:tcMar>
          </w:tcPr>
          <w:p>
            <w:r>
              <w:rPr>
                <w:rFonts w:ascii="Calibri" w:hAnsi="Calibri"/>
                <w:color w:val="222222"/>
                <w:sz w:val="19"/>
              </w:rPr>
              <w:t>Global Explainable AI (XAI)</w:t>
            </w:r>
          </w:p>
        </w:tc>
        <w:tc>
          <w:tcPr>
            <w:tcW w:type="dxa" w:w="4320"/>
            <w:shd w:fill="FFFFFF"/>
            <w:tcMar>
              <w:top w:w="80" w:type="dxa"/>
              <w:bottom w:w="80" w:type="dxa"/>
              <w:left w:w="140" w:type="dxa"/>
              <w:right w:w="140" w:type="dxa"/>
            </w:tcMar>
          </w:tcPr>
          <w:p>
            <w:r>
              <w:rPr>
                <w:rFonts w:ascii="Calibri" w:hAnsi="Calibri"/>
                <w:color w:val="222222"/>
                <w:sz w:val="19"/>
              </w:rPr>
              <w:t>Calculates exact game-theoretic Shapley values using TreeExplainer to determine which memory artifacts pushed the verdict toward Malware or Benign.</w:t>
            </w:r>
          </w:p>
        </w:tc>
      </w:tr>
      <w:tr>
        <w:tc>
          <w:tcPr>
            <w:tcW w:type="dxa" w:w="2160"/>
            <w:shd w:fill="F9FAFC"/>
            <w:tcMar>
              <w:top w:w="80" w:type="dxa"/>
              <w:bottom w:w="80" w:type="dxa"/>
              <w:left w:w="140" w:type="dxa"/>
              <w:right w:w="140" w:type="dxa"/>
            </w:tcMar>
          </w:tcPr>
          <w:p>
            <w:r>
              <w:rPr>
                <w:rFonts w:ascii="Calibri" w:hAnsi="Calibri"/>
                <w:color w:val="222222"/>
                <w:sz w:val="19"/>
              </w:rPr>
              <w:t>LIME</w:t>
            </w:r>
          </w:p>
        </w:tc>
        <w:tc>
          <w:tcPr>
            <w:tcW w:type="dxa" w:w="2880"/>
            <w:shd w:fill="F9FAFC"/>
            <w:tcMar>
              <w:top w:w="80" w:type="dxa"/>
              <w:bottom w:w="80" w:type="dxa"/>
              <w:left w:w="140" w:type="dxa"/>
              <w:right w:w="140" w:type="dxa"/>
            </w:tcMar>
          </w:tcPr>
          <w:p>
            <w:r>
              <w:rPr>
                <w:rFonts w:ascii="Calibri" w:hAnsi="Calibri"/>
                <w:color w:val="222222"/>
                <w:sz w:val="19"/>
              </w:rPr>
              <w:t>Local Explainable AI (XAI)</w:t>
            </w:r>
          </w:p>
        </w:tc>
        <w:tc>
          <w:tcPr>
            <w:tcW w:type="dxa" w:w="4320"/>
            <w:shd w:fill="F9FAFC"/>
            <w:tcMar>
              <w:top w:w="80" w:type="dxa"/>
              <w:bottom w:w="80" w:type="dxa"/>
              <w:left w:w="140" w:type="dxa"/>
              <w:right w:w="140" w:type="dxa"/>
            </w:tcMar>
          </w:tcPr>
          <w:p>
            <w:r>
              <w:rPr>
                <w:rFonts w:ascii="Calibri" w:hAnsi="Calibri"/>
                <w:color w:val="222222"/>
                <w:sz w:val="19"/>
              </w:rPr>
              <w:t>LimeTabularExplainer generates human-readable local decision thresholds (e.g. 'handles.nhandles &gt; 8500') for instance-level validation.</w:t>
            </w:r>
          </w:p>
        </w:tc>
      </w:tr>
      <w:tr>
        <w:tc>
          <w:tcPr>
            <w:tcW w:type="dxa" w:w="2160"/>
            <w:shd w:fill="FFFFFF"/>
            <w:tcMar>
              <w:top w:w="80" w:type="dxa"/>
              <w:bottom w:w="80" w:type="dxa"/>
              <w:left w:w="140" w:type="dxa"/>
              <w:right w:w="140" w:type="dxa"/>
            </w:tcMar>
          </w:tcPr>
          <w:p>
            <w:r>
              <w:rPr>
                <w:rFonts w:ascii="Calibri" w:hAnsi="Calibri"/>
                <w:color w:val="222222"/>
                <w:sz w:val="19"/>
              </w:rPr>
              <w:t>ReportLab</w:t>
            </w:r>
          </w:p>
        </w:tc>
        <w:tc>
          <w:tcPr>
            <w:tcW w:type="dxa" w:w="2880"/>
            <w:shd w:fill="FFFFFF"/>
            <w:tcMar>
              <w:top w:w="80" w:type="dxa"/>
              <w:bottom w:w="80" w:type="dxa"/>
              <w:left w:w="140" w:type="dxa"/>
              <w:right w:w="140" w:type="dxa"/>
            </w:tcMar>
          </w:tcPr>
          <w:p>
            <w:r>
              <w:rPr>
                <w:rFonts w:ascii="Calibri" w:hAnsi="Calibri"/>
                <w:color w:val="222222"/>
                <w:sz w:val="19"/>
              </w:rPr>
              <w:t>Forensic PDF Compilation Engine</w:t>
            </w:r>
          </w:p>
        </w:tc>
        <w:tc>
          <w:tcPr>
            <w:tcW w:type="dxa" w:w="4320"/>
            <w:shd w:fill="FFFFFF"/>
            <w:tcMar>
              <w:top w:w="80" w:type="dxa"/>
              <w:bottom w:w="80" w:type="dxa"/>
              <w:left w:w="140" w:type="dxa"/>
              <w:right w:w="140" w:type="dxa"/>
            </w:tcMar>
          </w:tcPr>
          <w:p>
            <w:r>
              <w:rPr>
                <w:rFonts w:ascii="Calibri" w:hAnsi="Calibri"/>
                <w:color w:val="222222"/>
                <w:sz w:val="19"/>
              </w:rPr>
              <w:t>Dynamically generates official, downloadable legal/incident response PDF reports complete with tables and incident response playbooks.</w:t>
            </w:r>
          </w:p>
        </w:tc>
      </w:tr>
      <w:tr>
        <w:tc>
          <w:tcPr>
            <w:tcW w:type="dxa" w:w="2160"/>
            <w:shd w:fill="F9FAFC"/>
            <w:tcMar>
              <w:top w:w="80" w:type="dxa"/>
              <w:bottom w:w="80" w:type="dxa"/>
              <w:left w:w="140" w:type="dxa"/>
              <w:right w:w="140" w:type="dxa"/>
            </w:tcMar>
          </w:tcPr>
          <w:p>
            <w:r>
              <w:rPr>
                <w:rFonts w:ascii="Calibri" w:hAnsi="Calibri"/>
                <w:color w:val="222222"/>
                <w:sz w:val="19"/>
              </w:rPr>
              <w:t>Pandas &amp; NumPy</w:t>
            </w:r>
          </w:p>
        </w:tc>
        <w:tc>
          <w:tcPr>
            <w:tcW w:type="dxa" w:w="2880"/>
            <w:shd w:fill="F9FAFC"/>
            <w:tcMar>
              <w:top w:w="80" w:type="dxa"/>
              <w:bottom w:w="80" w:type="dxa"/>
              <w:left w:w="140" w:type="dxa"/>
              <w:right w:w="140" w:type="dxa"/>
            </w:tcMar>
          </w:tcPr>
          <w:p>
            <w:r>
              <w:rPr>
                <w:rFonts w:ascii="Calibri" w:hAnsi="Calibri"/>
                <w:color w:val="222222"/>
                <w:sz w:val="19"/>
              </w:rPr>
              <w:t>Data Transformation &amp; Arrays</w:t>
            </w:r>
          </w:p>
        </w:tc>
        <w:tc>
          <w:tcPr>
            <w:tcW w:type="dxa" w:w="4320"/>
            <w:shd w:fill="F9FAFC"/>
            <w:tcMar>
              <w:top w:w="80" w:type="dxa"/>
              <w:bottom w:w="80" w:type="dxa"/>
              <w:left w:w="140" w:type="dxa"/>
              <w:right w:w="140" w:type="dxa"/>
            </w:tcMar>
          </w:tcPr>
          <w:p>
            <w:r>
              <w:rPr>
                <w:rFonts w:ascii="Calibri" w:hAnsi="Calibri"/>
                <w:color w:val="222222"/>
                <w:sz w:val="19"/>
              </w:rPr>
              <w:t>Data loading, feature matrix cleaning, label isolation, zero-padding, and tabular data structures.</w:t>
            </w:r>
          </w:p>
        </w:tc>
      </w:tr>
      <w:tr>
        <w:tc>
          <w:tcPr>
            <w:tcW w:type="dxa" w:w="2160"/>
            <w:shd w:fill="FFFFFF"/>
            <w:tcMar>
              <w:top w:w="80" w:type="dxa"/>
              <w:bottom w:w="80" w:type="dxa"/>
              <w:left w:w="140" w:type="dxa"/>
              <w:right w:w="140" w:type="dxa"/>
            </w:tcMar>
          </w:tcPr>
          <w:p>
            <w:r>
              <w:rPr>
                <w:rFonts w:ascii="Calibri" w:hAnsi="Calibri"/>
                <w:color w:val="222222"/>
                <w:sz w:val="19"/>
              </w:rPr>
              <w:t>Matplotlib / Seaborn</w:t>
            </w:r>
          </w:p>
        </w:tc>
        <w:tc>
          <w:tcPr>
            <w:tcW w:type="dxa" w:w="2880"/>
            <w:shd w:fill="FFFFFF"/>
            <w:tcMar>
              <w:top w:w="80" w:type="dxa"/>
              <w:bottom w:w="80" w:type="dxa"/>
              <w:left w:w="140" w:type="dxa"/>
              <w:right w:w="140" w:type="dxa"/>
            </w:tcMar>
          </w:tcPr>
          <w:p>
            <w:r>
              <w:rPr>
                <w:rFonts w:ascii="Calibri" w:hAnsi="Calibri"/>
                <w:color w:val="222222"/>
                <w:sz w:val="19"/>
              </w:rPr>
              <w:t>Forensic Data Visualization</w:t>
            </w:r>
          </w:p>
        </w:tc>
        <w:tc>
          <w:tcPr>
            <w:tcW w:type="dxa" w:w="4320"/>
            <w:shd w:fill="FFFFFF"/>
            <w:tcMar>
              <w:top w:w="80" w:type="dxa"/>
              <w:bottom w:w="80" w:type="dxa"/>
              <w:left w:w="140" w:type="dxa"/>
              <w:right w:w="140" w:type="dxa"/>
            </w:tcMar>
          </w:tcPr>
          <w:p>
            <w:r>
              <w:rPr>
                <w:rFonts w:ascii="Calibri" w:hAnsi="Calibri"/>
                <w:color w:val="222222"/>
                <w:sz w:val="19"/>
              </w:rPr>
              <w:t>Renders ROC performance curves, confusion matrices, and SHAP/LIME waterfall impact horizontal bar charts.</w:t>
            </w:r>
          </w:p>
        </w:tc>
      </w:tr>
      <w:tr>
        <w:tc>
          <w:tcPr>
            <w:tcW w:type="dxa" w:w="2160"/>
            <w:shd w:fill="F9FAFC"/>
            <w:tcMar>
              <w:top w:w="80" w:type="dxa"/>
              <w:bottom w:w="80" w:type="dxa"/>
              <w:left w:w="140" w:type="dxa"/>
              <w:right w:w="140" w:type="dxa"/>
            </w:tcMar>
          </w:tcPr>
          <w:p>
            <w:r>
              <w:rPr>
                <w:rFonts w:ascii="Calibri" w:hAnsi="Calibri"/>
                <w:color w:val="222222"/>
                <w:sz w:val="19"/>
              </w:rPr>
              <w:t>Joblib</w:t>
            </w:r>
          </w:p>
        </w:tc>
        <w:tc>
          <w:tcPr>
            <w:tcW w:type="dxa" w:w="2880"/>
            <w:shd w:fill="F9FAFC"/>
            <w:tcMar>
              <w:top w:w="80" w:type="dxa"/>
              <w:bottom w:w="80" w:type="dxa"/>
              <w:left w:w="140" w:type="dxa"/>
              <w:right w:w="140" w:type="dxa"/>
            </w:tcMar>
          </w:tcPr>
          <w:p>
            <w:r>
              <w:rPr>
                <w:rFonts w:ascii="Calibri" w:hAnsi="Calibri"/>
                <w:color w:val="222222"/>
                <w:sz w:val="19"/>
              </w:rPr>
              <w:t>Model Serialization &amp; Archival</w:t>
            </w:r>
          </w:p>
        </w:tc>
        <w:tc>
          <w:tcPr>
            <w:tcW w:type="dxa" w:w="4320"/>
            <w:shd w:fill="F9FAFC"/>
            <w:tcMar>
              <w:top w:w="80" w:type="dxa"/>
              <w:bottom w:w="80" w:type="dxa"/>
              <w:left w:w="140" w:type="dxa"/>
              <w:right w:w="140" w:type="dxa"/>
            </w:tcMar>
          </w:tcPr>
          <w:p>
            <w:r>
              <w:rPr>
                <w:rFonts w:ascii="Calibri" w:hAnsi="Calibri"/>
                <w:color w:val="222222"/>
                <w:sz w:val="19"/>
              </w:rPr>
              <w:t>Serializes trained AI brains into .pkl files (random_forest_model.pkl, multiclass_random_forest.pkl, isolation_forest.pkl).</w:t>
            </w:r>
          </w:p>
        </w:tc>
      </w:tr>
      <w:tr>
        <w:tc>
          <w:tcPr>
            <w:tcW w:type="dxa" w:w="2160"/>
            <w:shd w:fill="FFFFFF"/>
            <w:tcMar>
              <w:top w:w="80" w:type="dxa"/>
              <w:bottom w:w="80" w:type="dxa"/>
              <w:left w:w="140" w:type="dxa"/>
              <w:right w:w="140" w:type="dxa"/>
            </w:tcMar>
          </w:tcPr>
          <w:p>
            <w:r>
              <w:rPr>
                <w:rFonts w:ascii="Calibri" w:hAnsi="Calibri"/>
                <w:color w:val="222222"/>
                <w:sz w:val="19"/>
              </w:rPr>
              <w:t>Volatility Framework</w:t>
            </w:r>
          </w:p>
        </w:tc>
        <w:tc>
          <w:tcPr>
            <w:tcW w:type="dxa" w:w="2880"/>
            <w:shd w:fill="FFFFFF"/>
            <w:tcMar>
              <w:top w:w="80" w:type="dxa"/>
              <w:bottom w:w="80" w:type="dxa"/>
              <w:left w:w="140" w:type="dxa"/>
              <w:right w:w="140" w:type="dxa"/>
            </w:tcMar>
          </w:tcPr>
          <w:p>
            <w:r>
              <w:rPr>
                <w:rFonts w:ascii="Calibri" w:hAnsi="Calibri"/>
                <w:color w:val="222222"/>
                <w:sz w:val="19"/>
              </w:rPr>
              <w:t>Forensic Artifact Reference</w:t>
            </w:r>
          </w:p>
        </w:tc>
        <w:tc>
          <w:tcPr>
            <w:tcW w:type="dxa" w:w="4320"/>
            <w:shd w:fill="FFFFFF"/>
            <w:tcMar>
              <w:top w:w="80" w:type="dxa"/>
              <w:bottom w:w="80" w:type="dxa"/>
              <w:left w:w="140" w:type="dxa"/>
              <w:right w:w="140" w:type="dxa"/>
            </w:tcMar>
          </w:tcPr>
          <w:p>
            <w:r>
              <w:rPr>
                <w:rFonts w:ascii="Calibri" w:hAnsi="Calibri"/>
                <w:color w:val="222222"/>
                <w:sz w:val="19"/>
              </w:rPr>
              <w:t>The underlying digital forensics domain standard from which the 55 memory artifacts (malfind, pslist, handles, dlllist, etc.) are extracted.</w:t>
            </w:r>
          </w:p>
        </w:tc>
      </w:tr>
    </w:tbl>
    <w:p>
      <w:pPr>
        <w:spacing w:after="200"/>
      </w:pPr>
    </w:p>
    <w:p>
      <w:pPr>
        <w:pStyle w:val="Heading1"/>
        <w:spacing w:before="280" w:after="120"/>
      </w:pPr>
      <w:r>
        <w:t>4. How Data is Processed (Data Pipeline &amp; Feature Engineering)</w:t>
      </w:r>
    </w:p>
    <w:p>
      <w:r>
        <w:t>The project is built upon the Canadian Institute for Cybersecurity (CIC) benchmark dataset: Obfuscated-MalMem2022.csv. This dataset was specifically created to evaluate memory forensics systems against sophisticated obfuscation techniques.</w:t>
      </w:r>
    </w:p>
    <w:p>
      <w:pPr>
        <w:pStyle w:val="Heading2"/>
      </w:pPr>
      <w:r>
        <w:t>Dataset Breakdown &amp; Composition:</w:t>
      </w:r>
    </w:p>
    <w:p>
      <w:r>
        <w:rPr>
          <w:b/>
        </w:rPr>
        <w:t xml:space="preserve">• Total Samples: </w:t>
      </w:r>
      <w:r>
        <w:t>58,596 memory dump instances balanced between benign software and active malware.</w:t>
        <w:br/>
      </w:r>
      <w:r>
        <w:rPr>
          <w:b/>
        </w:rPr>
        <w:t xml:space="preserve">• Malicious Families: </w:t>
      </w:r>
      <w:r>
        <w:t>Spyware (180solutions, Coolwebsearch, Gator, Transponder, TIBS), Ransomware (Conti, Maze, Poca, WannaCry), and Trojans (Emotet, Zeus, Danabot, Trickbot).</w:t>
        <w:br/>
      </w:r>
      <w:r>
        <w:rPr>
          <w:b/>
        </w:rPr>
        <w:t xml:space="preserve">• Volatile Memory Dimensions: </w:t>
      </w:r>
      <w:r>
        <w:t>55 continuous and discrete features extracted from Windows memory dumps using Volatility plugins.</w:t>
      </w:r>
    </w:p>
    <w:p>
      <w:pPr>
        <w:pStyle w:val="Heading2"/>
      </w:pPr>
      <w:r>
        <w:t>The 55 Memory Feature Categories:</w:t>
      </w:r>
    </w:p>
    <w:tbl>
      <w:tblPr>
        <w:tblW w:type="auto" w:w="0"/>
        <w:jc w:val="center"/>
        <w:tblLook w:firstColumn="1" w:firstRow="1" w:lastColumn="0" w:lastRow="0" w:noHBand="0" w:noVBand="1" w:val="04A0"/>
      </w:tblPr>
      <w:tblGrid>
        <w:gridCol w:w="3120"/>
        <w:gridCol w:w="3120"/>
        <w:gridCol w:w="3120"/>
      </w:tblGrid>
      <w:tr>
        <w:tc>
          <w:tcPr>
            <w:tcW w:type="dxa" w:w="2592"/>
            <w:shd w:fill="1F3864"/>
            <w:tcMar>
              <w:top w:w="100" w:type="dxa"/>
              <w:bottom w:w="100" w:type="dxa"/>
              <w:left w:w="140" w:type="dxa"/>
              <w:right w:w="140" w:type="dxa"/>
            </w:tcMar>
          </w:tcPr>
          <w:p>
            <w:r>
              <w:rPr>
                <w:rFonts w:ascii="Calibri" w:hAnsi="Calibri"/>
                <w:b/>
                <w:color w:val="FFFFFF"/>
                <w:sz w:val="20"/>
              </w:rPr>
              <w:t>Feature Family</w:t>
            </w:r>
          </w:p>
        </w:tc>
        <w:tc>
          <w:tcPr>
            <w:tcW w:type="dxa" w:w="3168"/>
            <w:shd w:fill="1F3864"/>
            <w:tcMar>
              <w:top w:w="100" w:type="dxa"/>
              <w:bottom w:w="100" w:type="dxa"/>
              <w:left w:w="140" w:type="dxa"/>
              <w:right w:w="140" w:type="dxa"/>
            </w:tcMar>
          </w:tcPr>
          <w:p>
            <w:r>
              <w:rPr>
                <w:rFonts w:ascii="Calibri" w:hAnsi="Calibri"/>
                <w:b/>
                <w:color w:val="FFFFFF"/>
                <w:sz w:val="20"/>
              </w:rPr>
              <w:t>Key Volatility Metrics</w:t>
            </w:r>
          </w:p>
        </w:tc>
        <w:tc>
          <w:tcPr>
            <w:tcW w:type="dxa" w:w="3600"/>
            <w:shd w:fill="1F3864"/>
            <w:tcMar>
              <w:top w:w="100" w:type="dxa"/>
              <w:bottom w:w="100" w:type="dxa"/>
              <w:left w:w="140" w:type="dxa"/>
              <w:right w:w="140" w:type="dxa"/>
            </w:tcMar>
          </w:tcPr>
          <w:p>
            <w:r>
              <w:rPr>
                <w:rFonts w:ascii="Calibri" w:hAnsi="Calibri"/>
                <w:b/>
                <w:color w:val="FFFFFF"/>
                <w:sz w:val="20"/>
              </w:rPr>
              <w:t>Forensic Significance &amp; Threat Detection Value</w:t>
            </w:r>
          </w:p>
        </w:tc>
      </w:tr>
      <w:tr>
        <w:tc>
          <w:tcPr>
            <w:tcW w:type="dxa" w:w="2592"/>
            <w:shd w:fill="F9FAFC"/>
            <w:tcMar>
              <w:top w:w="80" w:type="dxa"/>
              <w:bottom w:w="80" w:type="dxa"/>
              <w:left w:w="140" w:type="dxa"/>
              <w:right w:w="140" w:type="dxa"/>
            </w:tcMar>
          </w:tcPr>
          <w:p>
            <w:r>
              <w:rPr>
                <w:rFonts w:ascii="Calibri" w:hAnsi="Calibri"/>
                <w:color w:val="222222"/>
                <w:sz w:val="19"/>
              </w:rPr>
              <w:t>malfind (Memory Injections)</w:t>
            </w:r>
          </w:p>
        </w:tc>
        <w:tc>
          <w:tcPr>
            <w:tcW w:type="dxa" w:w="3168"/>
            <w:shd w:fill="F9FAFC"/>
            <w:tcMar>
              <w:top w:w="80" w:type="dxa"/>
              <w:bottom w:w="80" w:type="dxa"/>
              <w:left w:w="140" w:type="dxa"/>
              <w:right w:w="140" w:type="dxa"/>
            </w:tcMar>
          </w:tcPr>
          <w:p>
            <w:r>
              <w:rPr>
                <w:rFonts w:ascii="Calibri" w:hAnsi="Calibri"/>
                <w:color w:val="222222"/>
                <w:sz w:val="19"/>
              </w:rPr>
              <w:t>malfind.ninjections, malfind.commitCharge, malfind.protection</w:t>
            </w:r>
          </w:p>
        </w:tc>
        <w:tc>
          <w:tcPr>
            <w:tcW w:type="dxa" w:w="3600"/>
            <w:shd w:fill="F9FAFC"/>
            <w:tcMar>
              <w:top w:w="80" w:type="dxa"/>
              <w:bottom w:w="80" w:type="dxa"/>
              <w:left w:w="140" w:type="dxa"/>
              <w:right w:w="140" w:type="dxa"/>
            </w:tcMar>
          </w:tcPr>
          <w:p>
            <w:r>
              <w:rPr>
                <w:rFonts w:ascii="Calibri" w:hAnsi="Calibri"/>
                <w:color w:val="222222"/>
                <w:sz w:val="19"/>
              </w:rPr>
              <w:t>Identifies hidden code injected into memory without backing files on disk (PAGE_EXECUTE_READWRITE permissions). Hallmarks of fileless malware and Cobalt Strike beacons.</w:t>
            </w:r>
          </w:p>
        </w:tc>
      </w:tr>
      <w:tr>
        <w:tc>
          <w:tcPr>
            <w:tcW w:type="dxa" w:w="2592"/>
            <w:shd w:fill="FFFFFF"/>
            <w:tcMar>
              <w:top w:w="80" w:type="dxa"/>
              <w:bottom w:w="80" w:type="dxa"/>
              <w:left w:w="140" w:type="dxa"/>
              <w:right w:w="140" w:type="dxa"/>
            </w:tcMar>
          </w:tcPr>
          <w:p>
            <w:r>
              <w:rPr>
                <w:rFonts w:ascii="Calibri" w:hAnsi="Calibri"/>
                <w:color w:val="222222"/>
                <w:sz w:val="19"/>
              </w:rPr>
              <w:t>pslist &amp; psxview (Processes)</w:t>
            </w:r>
          </w:p>
        </w:tc>
        <w:tc>
          <w:tcPr>
            <w:tcW w:type="dxa" w:w="3168"/>
            <w:shd w:fill="FFFFFF"/>
            <w:tcMar>
              <w:top w:w="80" w:type="dxa"/>
              <w:bottom w:w="80" w:type="dxa"/>
              <w:left w:w="140" w:type="dxa"/>
              <w:right w:w="140" w:type="dxa"/>
            </w:tcMar>
          </w:tcPr>
          <w:p>
            <w:r>
              <w:rPr>
                <w:rFonts w:ascii="Calibri" w:hAnsi="Calibri"/>
                <w:color w:val="222222"/>
                <w:sz w:val="19"/>
              </w:rPr>
              <w:t>pslist.nproc, pslist.avg_threads, psxview.not_in_eprocess</w:t>
            </w:r>
          </w:p>
        </w:tc>
        <w:tc>
          <w:tcPr>
            <w:tcW w:type="dxa" w:w="3600"/>
            <w:shd w:fill="FFFFFF"/>
            <w:tcMar>
              <w:top w:w="80" w:type="dxa"/>
              <w:bottom w:w="80" w:type="dxa"/>
              <w:left w:w="140" w:type="dxa"/>
              <w:right w:w="140" w:type="dxa"/>
            </w:tcMar>
          </w:tcPr>
          <w:p>
            <w:r>
              <w:rPr>
                <w:rFonts w:ascii="Calibri" w:hAnsi="Calibri"/>
                <w:color w:val="222222"/>
                <w:sz w:val="19"/>
              </w:rPr>
              <w:t>Cross-examines the active EPROCESS linked lists against low-level scheduler structures to identify hidden processes unlinked via Direct Kernel Object Manipulation (DKOM).</w:t>
            </w:r>
          </w:p>
        </w:tc>
      </w:tr>
      <w:tr>
        <w:tc>
          <w:tcPr>
            <w:tcW w:type="dxa" w:w="2592"/>
            <w:shd w:fill="F9FAFC"/>
            <w:tcMar>
              <w:top w:w="80" w:type="dxa"/>
              <w:bottom w:w="80" w:type="dxa"/>
              <w:left w:w="140" w:type="dxa"/>
              <w:right w:w="140" w:type="dxa"/>
            </w:tcMar>
          </w:tcPr>
          <w:p>
            <w:r>
              <w:rPr>
                <w:rFonts w:ascii="Calibri" w:hAnsi="Calibri"/>
                <w:color w:val="222222"/>
                <w:sz w:val="19"/>
              </w:rPr>
              <w:t>handles (System Resources)</w:t>
            </w:r>
          </w:p>
        </w:tc>
        <w:tc>
          <w:tcPr>
            <w:tcW w:type="dxa" w:w="3168"/>
            <w:shd w:fill="F9FAFC"/>
            <w:tcMar>
              <w:top w:w="80" w:type="dxa"/>
              <w:bottom w:w="80" w:type="dxa"/>
              <w:left w:w="140" w:type="dxa"/>
              <w:right w:w="140" w:type="dxa"/>
            </w:tcMar>
          </w:tcPr>
          <w:p>
            <w:r>
              <w:rPr>
                <w:rFonts w:ascii="Calibri" w:hAnsi="Calibri"/>
                <w:color w:val="222222"/>
                <w:sz w:val="19"/>
              </w:rPr>
              <w:t>handles.nhandles, handles.avg_handles_per_proc, handles.nfile, handles.nmutant</w:t>
            </w:r>
          </w:p>
        </w:tc>
        <w:tc>
          <w:tcPr>
            <w:tcW w:type="dxa" w:w="3600"/>
            <w:shd w:fill="F9FAFC"/>
            <w:tcMar>
              <w:top w:w="80" w:type="dxa"/>
              <w:bottom w:w="80" w:type="dxa"/>
              <w:left w:w="140" w:type="dxa"/>
              <w:right w:w="140" w:type="dxa"/>
            </w:tcMar>
          </w:tcPr>
          <w:p>
            <w:r>
              <w:rPr>
                <w:rFonts w:ascii="Calibri" w:hAnsi="Calibri"/>
                <w:color w:val="222222"/>
                <w:sz w:val="19"/>
              </w:rPr>
              <w:t>Tracks open handles to files, mutexes, and registry keys. Dramatic spikes indicate ransomware sweeping file directories or trojans enforcing single-infection mutexes.</w:t>
            </w:r>
          </w:p>
        </w:tc>
      </w:tr>
      <w:tr>
        <w:tc>
          <w:tcPr>
            <w:tcW w:type="dxa" w:w="2592"/>
            <w:shd w:fill="FFFFFF"/>
            <w:tcMar>
              <w:top w:w="80" w:type="dxa"/>
              <w:bottom w:w="80" w:type="dxa"/>
              <w:left w:w="140" w:type="dxa"/>
              <w:right w:w="140" w:type="dxa"/>
            </w:tcMar>
          </w:tcPr>
          <w:p>
            <w:r>
              <w:rPr>
                <w:rFonts w:ascii="Calibri" w:hAnsi="Calibri"/>
                <w:color w:val="222222"/>
                <w:sz w:val="19"/>
              </w:rPr>
              <w:t>svcscan (Windows Services)</w:t>
            </w:r>
          </w:p>
        </w:tc>
        <w:tc>
          <w:tcPr>
            <w:tcW w:type="dxa" w:w="3168"/>
            <w:shd w:fill="FFFFFF"/>
            <w:tcMar>
              <w:top w:w="80" w:type="dxa"/>
              <w:bottom w:w="80" w:type="dxa"/>
              <w:left w:w="140" w:type="dxa"/>
              <w:right w:w="140" w:type="dxa"/>
            </w:tcMar>
          </w:tcPr>
          <w:p>
            <w:r>
              <w:rPr>
                <w:rFonts w:ascii="Calibri" w:hAnsi="Calibri"/>
                <w:color w:val="222222"/>
                <w:sz w:val="19"/>
              </w:rPr>
              <w:t>svcscan.nservices, svcscan.shared_process_services, svcscan.kernel_drivers</w:t>
            </w:r>
          </w:p>
        </w:tc>
        <w:tc>
          <w:tcPr>
            <w:tcW w:type="dxa" w:w="3600"/>
            <w:shd w:fill="FFFFFF"/>
            <w:tcMar>
              <w:top w:w="80" w:type="dxa"/>
              <w:bottom w:w="80" w:type="dxa"/>
              <w:left w:w="140" w:type="dxa"/>
              <w:right w:w="140" w:type="dxa"/>
            </w:tcMar>
          </w:tcPr>
          <w:p>
            <w:r>
              <w:rPr>
                <w:rFonts w:ascii="Calibri" w:hAnsi="Calibri"/>
                <w:color w:val="222222"/>
                <w:sz w:val="19"/>
              </w:rPr>
              <w:t>Monitors Windows service database modifications, rogue driver installations, and services masquerading under svchost.exe pools for persistence.</w:t>
            </w:r>
          </w:p>
        </w:tc>
      </w:tr>
      <w:tr>
        <w:tc>
          <w:tcPr>
            <w:tcW w:type="dxa" w:w="2592"/>
            <w:shd w:fill="F9FAFC"/>
            <w:tcMar>
              <w:top w:w="80" w:type="dxa"/>
              <w:bottom w:w="80" w:type="dxa"/>
              <w:left w:w="140" w:type="dxa"/>
              <w:right w:w="140" w:type="dxa"/>
            </w:tcMar>
          </w:tcPr>
          <w:p>
            <w:r>
              <w:rPr>
                <w:rFonts w:ascii="Calibri" w:hAnsi="Calibri"/>
                <w:color w:val="222222"/>
                <w:sz w:val="19"/>
              </w:rPr>
              <w:t>ldrmodules &amp; dlllist (DLLs)</w:t>
            </w:r>
          </w:p>
        </w:tc>
        <w:tc>
          <w:tcPr>
            <w:tcW w:type="dxa" w:w="3168"/>
            <w:shd w:fill="F9FAFC"/>
            <w:tcMar>
              <w:top w:w="80" w:type="dxa"/>
              <w:bottom w:w="80" w:type="dxa"/>
              <w:left w:w="140" w:type="dxa"/>
              <w:right w:w="140" w:type="dxa"/>
            </w:tcMar>
          </w:tcPr>
          <w:p>
            <w:r>
              <w:rPr>
                <w:rFonts w:ascii="Calibri" w:hAnsi="Calibri"/>
                <w:color w:val="222222"/>
                <w:sz w:val="19"/>
              </w:rPr>
              <w:t>dlllist.ndlls, ldrmodules.not_in_load, ldrmodules.not_in_init</w:t>
            </w:r>
          </w:p>
        </w:tc>
        <w:tc>
          <w:tcPr>
            <w:tcW w:type="dxa" w:w="3600"/>
            <w:shd w:fill="F9FAFC"/>
            <w:tcMar>
              <w:top w:w="80" w:type="dxa"/>
              <w:bottom w:w="80" w:type="dxa"/>
              <w:left w:w="140" w:type="dxa"/>
              <w:right w:w="140" w:type="dxa"/>
            </w:tcMar>
          </w:tcPr>
          <w:p>
            <w:r>
              <w:rPr>
                <w:rFonts w:ascii="Calibri" w:hAnsi="Calibri"/>
                <w:color w:val="222222"/>
                <w:sz w:val="19"/>
              </w:rPr>
              <w:t>Tracks dynamic-link libraries loaded into process spaces. Flags reflective DLL injection where malware runs without completing standard Windows loader initialization.</w:t>
            </w:r>
          </w:p>
        </w:tc>
      </w:tr>
      <w:tr>
        <w:tc>
          <w:tcPr>
            <w:tcW w:type="dxa" w:w="2592"/>
            <w:shd w:fill="FFFFFF"/>
            <w:tcMar>
              <w:top w:w="80" w:type="dxa"/>
              <w:bottom w:w="80" w:type="dxa"/>
              <w:left w:w="140" w:type="dxa"/>
              <w:right w:w="140" w:type="dxa"/>
            </w:tcMar>
          </w:tcPr>
          <w:p>
            <w:r>
              <w:rPr>
                <w:rFonts w:ascii="Calibri" w:hAnsi="Calibri"/>
                <w:color w:val="222222"/>
                <w:sz w:val="19"/>
              </w:rPr>
              <w:t>callbacks (Kernel Hooks)</w:t>
            </w:r>
          </w:p>
        </w:tc>
        <w:tc>
          <w:tcPr>
            <w:tcW w:type="dxa" w:w="3168"/>
            <w:shd w:fill="FFFFFF"/>
            <w:tcMar>
              <w:top w:w="80" w:type="dxa"/>
              <w:bottom w:w="80" w:type="dxa"/>
              <w:left w:w="140" w:type="dxa"/>
              <w:right w:w="140" w:type="dxa"/>
            </w:tcMar>
          </w:tcPr>
          <w:p>
            <w:r>
              <w:rPr>
                <w:rFonts w:ascii="Calibri" w:hAnsi="Calibri"/>
                <w:color w:val="222222"/>
                <w:sz w:val="19"/>
              </w:rPr>
              <w:t>callbacks.ncallbacks, callbacks.nanonymous</w:t>
            </w:r>
          </w:p>
        </w:tc>
        <w:tc>
          <w:tcPr>
            <w:tcW w:type="dxa" w:w="3600"/>
            <w:shd w:fill="FFFFFF"/>
            <w:tcMar>
              <w:top w:w="80" w:type="dxa"/>
              <w:bottom w:w="80" w:type="dxa"/>
              <w:left w:w="140" w:type="dxa"/>
              <w:right w:w="140" w:type="dxa"/>
            </w:tcMar>
          </w:tcPr>
          <w:p>
            <w:r>
              <w:rPr>
                <w:rFonts w:ascii="Calibri" w:hAnsi="Calibri"/>
                <w:color w:val="222222"/>
                <w:sz w:val="19"/>
              </w:rPr>
              <w:t>Monitors kernel event notification callbacks registered by drivers. Anonymous callbacks indicate malicious rootkits executing in ring-0 kernel memory.</w:t>
            </w:r>
          </w:p>
        </w:tc>
      </w:tr>
    </w:tbl>
    <w:p>
      <w:pPr>
        <w:spacing w:after="160"/>
      </w:pPr>
    </w:p>
    <w:p>
      <w:pPr>
        <w:pStyle w:val="Heading2"/>
      </w:pPr>
      <w:r>
        <w:t>Data Cleaning &amp; Leakage Prevention:</w:t>
      </w:r>
    </w:p>
    <w:p>
      <w:r>
        <w:t>1. Label Isolation: In the raw CSV, 'Class' contains 'Benign'/'Malware' and 'Category' contains family names (e.g. 'Ransomware-Conti'). As proven in verify_data_integrity.py, the pipeline strictly separates the target vector (y) and drops all categorical strings from the feature matrix (X) to prevent target leakage.</w:t>
        <w:br/>
        <w:t>2. Binary Encoding: The 'Class' column is mapped to binary integer format (0 = Benign, 1 = Malware).</w:t>
        <w:br/>
        <w:t>3. Multi-Class Parsing: In train_multiclass.py, string prefix parsing groups malware into 4 classes: Benign (0), Spyware (1), Ransomware (2), and Trojan (3).</w:t>
        <w:br/>
        <w:t>4. Stratified 80/20 Splitting: Train/Test splitting is executed with stratification (stratify=y) to maintain identical class ratios across both splits, preventing class imbalance during evaluation.</w:t>
      </w:r>
    </w:p>
    <w:p>
      <w:pPr>
        <w:pStyle w:val="Heading1"/>
        <w:spacing w:before="280" w:after="120"/>
      </w:pPr>
      <w:r>
        <w:t>5. How the AI Models are Trained &amp; Evaluated</w:t>
      </w:r>
    </w:p>
    <w:p>
      <w:r>
        <w:t>The project deploys a three-tier model hierarchy: a binary classifier, an unsupervised anomaly detector, and a multi-class malware family model.</w:t>
      </w:r>
    </w:p>
    <w:tbl>
      <w:tblPr>
        <w:tblW w:type="auto" w:w="0"/>
        <w:jc w:val="center"/>
        <w:tblLook w:firstColumn="1" w:firstRow="1" w:lastColumn="0" w:lastRow="0" w:noHBand="0" w:noVBand="1" w:val="04A0"/>
      </w:tblPr>
      <w:tblGrid>
        <w:gridCol w:w="2340"/>
        <w:gridCol w:w="2340"/>
        <w:gridCol w:w="2340"/>
        <w:gridCol w:w="2340"/>
      </w:tblGrid>
      <w:tr>
        <w:tc>
          <w:tcPr>
            <w:tcW w:type="dxa" w:w="2160"/>
            <w:shd w:fill="1F3864"/>
            <w:tcMar>
              <w:top w:w="100" w:type="dxa"/>
              <w:bottom w:w="100" w:type="dxa"/>
              <w:left w:w="140" w:type="dxa"/>
              <w:right w:w="140" w:type="dxa"/>
            </w:tcMar>
          </w:tcPr>
          <w:p>
            <w:r>
              <w:rPr>
                <w:rFonts w:ascii="Calibri" w:hAnsi="Calibri"/>
                <w:b/>
                <w:color w:val="FFFFFF"/>
                <w:sz w:val="20"/>
              </w:rPr>
              <w:t>Model Architecture</w:t>
            </w:r>
          </w:p>
        </w:tc>
        <w:tc>
          <w:tcPr>
            <w:tcW w:type="dxa" w:w="2880"/>
            <w:shd w:fill="1F3864"/>
            <w:tcMar>
              <w:top w:w="100" w:type="dxa"/>
              <w:bottom w:w="100" w:type="dxa"/>
              <w:left w:w="140" w:type="dxa"/>
              <w:right w:w="140" w:type="dxa"/>
            </w:tcMar>
          </w:tcPr>
          <w:p>
            <w:r>
              <w:rPr>
                <w:rFonts w:ascii="Calibri" w:hAnsi="Calibri"/>
                <w:b/>
                <w:color w:val="FFFFFF"/>
                <w:sz w:val="20"/>
              </w:rPr>
              <w:t>Key Hyperparameters</w:t>
            </w:r>
          </w:p>
        </w:tc>
        <w:tc>
          <w:tcPr>
            <w:tcW w:type="dxa" w:w="2592"/>
            <w:shd w:fill="1F3864"/>
            <w:tcMar>
              <w:top w:w="100" w:type="dxa"/>
              <w:bottom w:w="100" w:type="dxa"/>
              <w:left w:w="140" w:type="dxa"/>
              <w:right w:w="140" w:type="dxa"/>
            </w:tcMar>
          </w:tcPr>
          <w:p>
            <w:r>
              <w:rPr>
                <w:rFonts w:ascii="Calibri" w:hAnsi="Calibri"/>
                <w:b/>
                <w:color w:val="FFFFFF"/>
                <w:sz w:val="20"/>
              </w:rPr>
              <w:t>Operational Purpose</w:t>
            </w:r>
          </w:p>
        </w:tc>
        <w:tc>
          <w:tcPr>
            <w:tcW w:type="dxa" w:w="2160"/>
            <w:shd w:fill="1F3864"/>
            <w:tcMar>
              <w:top w:w="100" w:type="dxa"/>
              <w:bottom w:w="100" w:type="dxa"/>
              <w:left w:w="140" w:type="dxa"/>
              <w:right w:w="140" w:type="dxa"/>
            </w:tcMar>
          </w:tcPr>
          <w:p>
            <w:r>
              <w:rPr>
                <w:rFonts w:ascii="Calibri" w:hAnsi="Calibri"/>
                <w:b/>
                <w:color w:val="FFFFFF"/>
                <w:sz w:val="20"/>
              </w:rPr>
              <w:t>Validated Performance</w:t>
            </w:r>
          </w:p>
        </w:tc>
      </w:tr>
      <w:tr>
        <w:tc>
          <w:tcPr>
            <w:tcW w:type="dxa" w:w="2160"/>
            <w:shd w:fill="F9FAFC"/>
            <w:tcMar>
              <w:top w:w="80" w:type="dxa"/>
              <w:bottom w:w="80" w:type="dxa"/>
              <w:left w:w="140" w:type="dxa"/>
              <w:right w:w="140" w:type="dxa"/>
            </w:tcMar>
          </w:tcPr>
          <w:p>
            <w:r>
              <w:rPr>
                <w:rFonts w:ascii="Calibri" w:hAnsi="Calibri"/>
                <w:color w:val="222222"/>
                <w:sz w:val="19"/>
              </w:rPr>
              <w:t>Random Forest (Binary)</w:t>
            </w:r>
          </w:p>
        </w:tc>
        <w:tc>
          <w:tcPr>
            <w:tcW w:type="dxa" w:w="2880"/>
            <w:shd w:fill="F9FAFC"/>
            <w:tcMar>
              <w:top w:w="80" w:type="dxa"/>
              <w:bottom w:w="80" w:type="dxa"/>
              <w:left w:w="140" w:type="dxa"/>
              <w:right w:w="140" w:type="dxa"/>
            </w:tcMar>
          </w:tcPr>
          <w:p>
            <w:r>
              <w:rPr>
                <w:rFonts w:ascii="Calibri" w:hAnsi="Calibri"/>
                <w:color w:val="222222"/>
                <w:sz w:val="19"/>
              </w:rPr>
              <w:t>150 Estimators, max_depth=12, min_samples_split=10, min_samples_leaf=4, max_features='sqrt'</w:t>
            </w:r>
          </w:p>
        </w:tc>
        <w:tc>
          <w:tcPr>
            <w:tcW w:type="dxa" w:w="2592"/>
            <w:shd w:fill="F9FAFC"/>
            <w:tcMar>
              <w:top w:w="80" w:type="dxa"/>
              <w:bottom w:w="80" w:type="dxa"/>
              <w:left w:w="140" w:type="dxa"/>
              <w:right w:w="140" w:type="dxa"/>
            </w:tcMar>
          </w:tcPr>
          <w:p>
            <w:r>
              <w:rPr>
                <w:rFonts w:ascii="Calibri" w:hAnsi="Calibri"/>
                <w:color w:val="222222"/>
                <w:sz w:val="19"/>
              </w:rPr>
              <w:t>Primary triage classifier determining if a memory profile is Benign (0) or Malicious (1).</w:t>
            </w:r>
          </w:p>
        </w:tc>
        <w:tc>
          <w:tcPr>
            <w:tcW w:type="dxa" w:w="2160"/>
            <w:shd w:fill="F9FAFC"/>
            <w:tcMar>
              <w:top w:w="80" w:type="dxa"/>
              <w:bottom w:w="80" w:type="dxa"/>
              <w:left w:w="140" w:type="dxa"/>
              <w:right w:w="140" w:type="dxa"/>
            </w:tcMar>
          </w:tcPr>
          <w:p>
            <w:r>
              <w:rPr>
                <w:rFonts w:ascii="Calibri" w:hAnsi="Calibri"/>
                <w:color w:val="222222"/>
                <w:sz w:val="19"/>
              </w:rPr>
              <w:t>Accuracy: 99.99%</w:t>
              <w:br/>
              <w:t>Precision: 99.98%</w:t>
              <w:br/>
              <w:t>Recall: 100.0%</w:t>
              <w:br/>
              <w:t>F1-Score: 99.99%</w:t>
              <w:br/>
              <w:t>ROC-AUC: 1.00</w:t>
            </w:r>
          </w:p>
        </w:tc>
      </w:tr>
      <w:tr>
        <w:tc>
          <w:tcPr>
            <w:tcW w:type="dxa" w:w="2160"/>
            <w:shd w:fill="FFFFFF"/>
            <w:tcMar>
              <w:top w:w="80" w:type="dxa"/>
              <w:bottom w:w="80" w:type="dxa"/>
              <w:left w:w="140" w:type="dxa"/>
              <w:right w:w="140" w:type="dxa"/>
            </w:tcMar>
          </w:tcPr>
          <w:p>
            <w:r>
              <w:rPr>
                <w:rFonts w:ascii="Calibri" w:hAnsi="Calibri"/>
                <w:color w:val="222222"/>
                <w:sz w:val="19"/>
              </w:rPr>
              <w:t>Isolation Forest (Unsupervised)</w:t>
            </w:r>
          </w:p>
        </w:tc>
        <w:tc>
          <w:tcPr>
            <w:tcW w:type="dxa" w:w="2880"/>
            <w:shd w:fill="FFFFFF"/>
            <w:tcMar>
              <w:top w:w="80" w:type="dxa"/>
              <w:bottom w:w="80" w:type="dxa"/>
              <w:left w:w="140" w:type="dxa"/>
              <w:right w:w="140" w:type="dxa"/>
            </w:tcMar>
          </w:tcPr>
          <w:p>
            <w:r>
              <w:rPr>
                <w:rFonts w:ascii="Calibri" w:hAnsi="Calibri"/>
                <w:color w:val="222222"/>
                <w:sz w:val="19"/>
              </w:rPr>
              <w:t>n_estimators=100, contamination=0.05, max_samples='auto'</w:t>
            </w:r>
          </w:p>
        </w:tc>
        <w:tc>
          <w:tcPr>
            <w:tcW w:type="dxa" w:w="2592"/>
            <w:shd w:fill="FFFFFF"/>
            <w:tcMar>
              <w:top w:w="80" w:type="dxa"/>
              <w:bottom w:w="80" w:type="dxa"/>
              <w:left w:w="140" w:type="dxa"/>
              <w:right w:w="140" w:type="dxa"/>
            </w:tcMar>
          </w:tcPr>
          <w:p>
            <w:r>
              <w:rPr>
                <w:rFonts w:ascii="Calibri" w:hAnsi="Calibri"/>
                <w:color w:val="222222"/>
                <w:sz w:val="19"/>
              </w:rPr>
              <w:t>Trained purely on normal/baseline profiles to identify out-of-distribution mathematical outliers (Zero-Day detector).</w:t>
            </w:r>
          </w:p>
        </w:tc>
        <w:tc>
          <w:tcPr>
            <w:tcW w:type="dxa" w:w="2160"/>
            <w:shd w:fill="FFFFFF"/>
            <w:tcMar>
              <w:top w:w="80" w:type="dxa"/>
              <w:bottom w:w="80" w:type="dxa"/>
              <w:left w:w="140" w:type="dxa"/>
              <w:right w:w="140" w:type="dxa"/>
            </w:tcMar>
          </w:tcPr>
          <w:p>
            <w:r>
              <w:rPr>
                <w:rFonts w:ascii="Calibri" w:hAnsi="Calibri"/>
                <w:color w:val="222222"/>
                <w:sz w:val="19"/>
              </w:rPr>
              <w:t>Flags anomalous records with is_anomaly=True (prediction == -1)</w:t>
            </w:r>
          </w:p>
        </w:tc>
      </w:tr>
      <w:tr>
        <w:tc>
          <w:tcPr>
            <w:tcW w:type="dxa" w:w="2160"/>
            <w:shd w:fill="F9FAFC"/>
            <w:tcMar>
              <w:top w:w="80" w:type="dxa"/>
              <w:bottom w:w="80" w:type="dxa"/>
              <w:left w:w="140" w:type="dxa"/>
              <w:right w:w="140" w:type="dxa"/>
            </w:tcMar>
          </w:tcPr>
          <w:p>
            <w:r>
              <w:rPr>
                <w:rFonts w:ascii="Calibri" w:hAnsi="Calibri"/>
                <w:color w:val="222222"/>
                <w:sz w:val="19"/>
              </w:rPr>
              <w:t>Multi-Class Random Forest</w:t>
            </w:r>
          </w:p>
        </w:tc>
        <w:tc>
          <w:tcPr>
            <w:tcW w:type="dxa" w:w="2880"/>
            <w:shd w:fill="F9FAFC"/>
            <w:tcMar>
              <w:top w:w="80" w:type="dxa"/>
              <w:bottom w:w="80" w:type="dxa"/>
              <w:left w:w="140" w:type="dxa"/>
              <w:right w:w="140" w:type="dxa"/>
            </w:tcMar>
          </w:tcPr>
          <w:p>
            <w:r>
              <w:rPr>
                <w:rFonts w:ascii="Calibri" w:hAnsi="Calibri"/>
                <w:color w:val="222222"/>
                <w:sz w:val="19"/>
              </w:rPr>
              <w:t>100 Estimators, max_depth=15, min_samples_split=10, min_samples_leaf=4</w:t>
            </w:r>
          </w:p>
        </w:tc>
        <w:tc>
          <w:tcPr>
            <w:tcW w:type="dxa" w:w="2592"/>
            <w:shd w:fill="F9FAFC"/>
            <w:tcMar>
              <w:top w:w="80" w:type="dxa"/>
              <w:bottom w:w="80" w:type="dxa"/>
              <w:left w:w="140" w:type="dxa"/>
              <w:right w:w="140" w:type="dxa"/>
            </w:tcMar>
          </w:tcPr>
          <w:p>
            <w:r>
              <w:rPr>
                <w:rFonts w:ascii="Calibri" w:hAnsi="Calibri"/>
                <w:color w:val="222222"/>
                <w:sz w:val="19"/>
              </w:rPr>
              <w:t>Classifies memory profiles into specific malware families: Benign, Spyware, Ransomware, Trojan.</w:t>
            </w:r>
          </w:p>
        </w:tc>
        <w:tc>
          <w:tcPr>
            <w:tcW w:type="dxa" w:w="2160"/>
            <w:shd w:fill="F9FAFC"/>
            <w:tcMar>
              <w:top w:w="80" w:type="dxa"/>
              <w:bottom w:w="80" w:type="dxa"/>
              <w:left w:w="140" w:type="dxa"/>
              <w:right w:w="140" w:type="dxa"/>
            </w:tcMar>
          </w:tcPr>
          <w:p>
            <w:r>
              <w:rPr>
                <w:rFonts w:ascii="Calibri" w:hAnsi="Calibri"/>
                <w:color w:val="222222"/>
                <w:sz w:val="19"/>
              </w:rPr>
              <w:t>Macro F1-Score: &gt; 85% across obfuscated families</w:t>
            </w:r>
          </w:p>
        </w:tc>
      </w:tr>
      <w:tr>
        <w:tc>
          <w:tcPr>
            <w:tcW w:type="dxa" w:w="2160"/>
            <w:shd w:fill="FFFFFF"/>
            <w:tcMar>
              <w:top w:w="80" w:type="dxa"/>
              <w:bottom w:w="80" w:type="dxa"/>
              <w:left w:w="140" w:type="dxa"/>
              <w:right w:w="140" w:type="dxa"/>
            </w:tcMar>
          </w:tcPr>
          <w:p>
            <w:r>
              <w:rPr>
                <w:rFonts w:ascii="Calibri" w:hAnsi="Calibri"/>
                <w:color w:val="222222"/>
                <w:sz w:val="19"/>
              </w:rPr>
              <w:t>Logistic Regression (Baseline)</w:t>
            </w:r>
          </w:p>
        </w:tc>
        <w:tc>
          <w:tcPr>
            <w:tcW w:type="dxa" w:w="2880"/>
            <w:shd w:fill="FFFFFF"/>
            <w:tcMar>
              <w:top w:w="80" w:type="dxa"/>
              <w:bottom w:w="80" w:type="dxa"/>
              <w:left w:w="140" w:type="dxa"/>
              <w:right w:w="140" w:type="dxa"/>
            </w:tcMar>
          </w:tcPr>
          <w:p>
            <w:r>
              <w:rPr>
                <w:rFonts w:ascii="Calibri" w:hAnsi="Calibri"/>
                <w:color w:val="222222"/>
                <w:sz w:val="19"/>
              </w:rPr>
              <w:t>max_iter=2000, StandardScaler pipeline</w:t>
            </w:r>
          </w:p>
        </w:tc>
        <w:tc>
          <w:tcPr>
            <w:tcW w:type="dxa" w:w="2592"/>
            <w:shd w:fill="FFFFFF"/>
            <w:tcMar>
              <w:top w:w="80" w:type="dxa"/>
              <w:bottom w:w="80" w:type="dxa"/>
              <w:left w:w="140" w:type="dxa"/>
              <w:right w:w="140" w:type="dxa"/>
            </w:tcMar>
          </w:tcPr>
          <w:p>
            <w:r>
              <w:rPr>
                <w:rFonts w:ascii="Calibri" w:hAnsi="Calibri"/>
                <w:color w:val="222222"/>
                <w:sz w:val="19"/>
              </w:rPr>
              <w:t>Used as a linear baseline in evaluate_model.py to prove superiority of non-linear tree ensembles.</w:t>
            </w:r>
          </w:p>
        </w:tc>
        <w:tc>
          <w:tcPr>
            <w:tcW w:type="dxa" w:w="2160"/>
            <w:shd w:fill="FFFFFF"/>
            <w:tcMar>
              <w:top w:w="80" w:type="dxa"/>
              <w:bottom w:w="80" w:type="dxa"/>
              <w:left w:w="140" w:type="dxa"/>
              <w:right w:w="140" w:type="dxa"/>
            </w:tcMar>
          </w:tcPr>
          <w:p>
            <w:r>
              <w:rPr>
                <w:rFonts w:ascii="Calibri" w:hAnsi="Calibri"/>
                <w:color w:val="222222"/>
                <w:sz w:val="19"/>
              </w:rPr>
              <w:t>Accuracy: 99.87%</w:t>
              <w:br/>
              <w:t>ROC-AUC: 0.9999</w:t>
            </w:r>
          </w:p>
        </w:tc>
      </w:tr>
    </w:tbl>
    <w:p>
      <w:pPr>
        <w:spacing w:after="200"/>
      </w:pPr>
    </w:p>
    <w:p>
      <w:pPr>
        <w:pStyle w:val="Heading1"/>
        <w:spacing w:before="280" w:after="120"/>
      </w:pPr>
      <w:r>
        <w:t>6. Complete Script Guide (What Every File in scripts/ Does)</w:t>
      </w:r>
    </w:p>
    <w:tbl>
      <w:tblPr>
        <w:tblW w:type="auto" w:w="0"/>
        <w:jc w:val="center"/>
        <w:tblLook w:firstColumn="1" w:firstRow="1" w:lastColumn="0" w:lastRow="0" w:noHBand="0" w:noVBand="1" w:val="04A0"/>
      </w:tblPr>
      <w:tblGrid>
        <w:gridCol w:w="3120"/>
        <w:gridCol w:w="3120"/>
        <w:gridCol w:w="3120"/>
      </w:tblGrid>
      <w:tr>
        <w:tc>
          <w:tcPr>
            <w:tcW w:type="dxa" w:w="2592"/>
            <w:shd w:fill="1F3864"/>
            <w:tcMar>
              <w:top w:w="100" w:type="dxa"/>
              <w:bottom w:w="100" w:type="dxa"/>
              <w:left w:w="140" w:type="dxa"/>
              <w:right w:w="140" w:type="dxa"/>
            </w:tcMar>
          </w:tcPr>
          <w:p>
            <w:r>
              <w:rPr>
                <w:rFonts w:ascii="Calibri" w:hAnsi="Calibri"/>
                <w:b/>
                <w:color w:val="FFFFFF"/>
                <w:sz w:val="20"/>
              </w:rPr>
              <w:t>Script Filename</w:t>
            </w:r>
          </w:p>
        </w:tc>
        <w:tc>
          <w:tcPr>
            <w:tcW w:type="dxa" w:w="2592"/>
            <w:shd w:fill="1F3864"/>
            <w:tcMar>
              <w:top w:w="100" w:type="dxa"/>
              <w:bottom w:w="100" w:type="dxa"/>
              <w:left w:w="140" w:type="dxa"/>
              <w:right w:w="140" w:type="dxa"/>
            </w:tcMar>
          </w:tcPr>
          <w:p>
            <w:r>
              <w:rPr>
                <w:rFonts w:ascii="Calibri" w:hAnsi="Calibri"/>
                <w:b/>
                <w:color w:val="FFFFFF"/>
                <w:sz w:val="20"/>
              </w:rPr>
              <w:t>Pipeline Category</w:t>
            </w:r>
          </w:p>
        </w:tc>
        <w:tc>
          <w:tcPr>
            <w:tcW w:type="dxa" w:w="4176"/>
            <w:shd w:fill="1F3864"/>
            <w:tcMar>
              <w:top w:w="100" w:type="dxa"/>
              <w:bottom w:w="100" w:type="dxa"/>
              <w:left w:w="140" w:type="dxa"/>
              <w:right w:w="140" w:type="dxa"/>
            </w:tcMar>
          </w:tcPr>
          <w:p>
            <w:r>
              <w:rPr>
                <w:rFonts w:ascii="Calibri" w:hAnsi="Calibri"/>
                <w:b/>
                <w:color w:val="FFFFFF"/>
                <w:sz w:val="20"/>
              </w:rPr>
              <w:t>Detailed Functional Description</w:t>
            </w:r>
          </w:p>
        </w:tc>
      </w:tr>
      <w:tr>
        <w:tc>
          <w:tcPr>
            <w:tcW w:type="dxa" w:w="2592"/>
            <w:shd w:fill="F9FAFC"/>
            <w:tcMar>
              <w:top w:w="80" w:type="dxa"/>
              <w:bottom w:w="80" w:type="dxa"/>
              <w:left w:w="140" w:type="dxa"/>
              <w:right w:w="140" w:type="dxa"/>
            </w:tcMar>
          </w:tcPr>
          <w:p>
            <w:r>
              <w:rPr>
                <w:rFonts w:ascii="Calibri" w:hAnsi="Calibri"/>
                <w:color w:val="222222"/>
                <w:sz w:val="19"/>
              </w:rPr>
              <w:t>train_model.py</w:t>
            </w:r>
          </w:p>
        </w:tc>
        <w:tc>
          <w:tcPr>
            <w:tcW w:type="dxa" w:w="2592"/>
            <w:shd w:fill="F9FAFC"/>
            <w:tcMar>
              <w:top w:w="80" w:type="dxa"/>
              <w:bottom w:w="80" w:type="dxa"/>
              <w:left w:w="140" w:type="dxa"/>
              <w:right w:w="140" w:type="dxa"/>
            </w:tcMar>
          </w:tcPr>
          <w:p>
            <w:r>
              <w:rPr>
                <w:rFonts w:ascii="Calibri" w:hAnsi="Calibri"/>
                <w:color w:val="222222"/>
                <w:sz w:val="19"/>
              </w:rPr>
              <w:t>Binary Model Training Pipeline</w:t>
            </w:r>
          </w:p>
        </w:tc>
        <w:tc>
          <w:tcPr>
            <w:tcW w:type="dxa" w:w="4176"/>
            <w:shd w:fill="F9FAFC"/>
            <w:tcMar>
              <w:top w:w="80" w:type="dxa"/>
              <w:bottom w:w="80" w:type="dxa"/>
              <w:left w:w="140" w:type="dxa"/>
              <w:right w:w="140" w:type="dxa"/>
            </w:tcMar>
          </w:tcPr>
          <w:p>
            <w:r>
              <w:rPr>
                <w:rFonts w:ascii="Calibri" w:hAnsi="Calibri"/>
                <w:color w:val="222222"/>
                <w:sz w:val="19"/>
              </w:rPr>
              <w:t>Loads the MalMem2022 dataset, isolates the 55 memory features, splits 80/20 with random_state=42, fits a 100-tree Random Forest classifier, validates accuracy, and serializes the model to models/random_forest_model.pkl.</w:t>
            </w:r>
          </w:p>
        </w:tc>
      </w:tr>
      <w:tr>
        <w:tc>
          <w:tcPr>
            <w:tcW w:type="dxa" w:w="2592"/>
            <w:shd w:fill="FFFFFF"/>
            <w:tcMar>
              <w:top w:w="80" w:type="dxa"/>
              <w:bottom w:w="80" w:type="dxa"/>
              <w:left w:w="140" w:type="dxa"/>
              <w:right w:w="140" w:type="dxa"/>
            </w:tcMar>
          </w:tcPr>
          <w:p>
            <w:r>
              <w:rPr>
                <w:rFonts w:ascii="Calibri" w:hAnsi="Calibri"/>
                <w:color w:val="222222"/>
                <w:sz w:val="19"/>
              </w:rPr>
              <w:t>train_multiclass.py</w:t>
            </w:r>
          </w:p>
        </w:tc>
        <w:tc>
          <w:tcPr>
            <w:tcW w:type="dxa" w:w="2592"/>
            <w:shd w:fill="FFFFFF"/>
            <w:tcMar>
              <w:top w:w="80" w:type="dxa"/>
              <w:bottom w:w="80" w:type="dxa"/>
              <w:left w:w="140" w:type="dxa"/>
              <w:right w:w="140" w:type="dxa"/>
            </w:tcMar>
          </w:tcPr>
          <w:p>
            <w:r>
              <w:rPr>
                <w:rFonts w:ascii="Calibri" w:hAnsi="Calibri"/>
                <w:color w:val="222222"/>
                <w:sz w:val="19"/>
              </w:rPr>
              <w:t>Multi-Class Malware Family Pipeline</w:t>
            </w:r>
          </w:p>
        </w:tc>
        <w:tc>
          <w:tcPr>
            <w:tcW w:type="dxa" w:w="4176"/>
            <w:shd w:fill="FFFFFF"/>
            <w:tcMar>
              <w:top w:w="80" w:type="dxa"/>
              <w:bottom w:w="80" w:type="dxa"/>
              <w:left w:w="140" w:type="dxa"/>
              <w:right w:w="140" w:type="dxa"/>
            </w:tcMar>
          </w:tcPr>
          <w:p>
            <w:r>
              <w:rPr>
                <w:rFonts w:ascii="Calibri" w:hAnsi="Calibri"/>
                <w:color w:val="222222"/>
                <w:sz w:val="19"/>
              </w:rPr>
              <w:t>Extracts malware family labels (Benign, Spyware, Ransomware, Trojan), performs stratified splitting, trains a multi-class Random Forest, outputs a multi-class classification report, and saves models/multiclass_random_forest.pkl.</w:t>
            </w:r>
          </w:p>
        </w:tc>
      </w:tr>
      <w:tr>
        <w:tc>
          <w:tcPr>
            <w:tcW w:type="dxa" w:w="2592"/>
            <w:shd w:fill="F9FAFC"/>
            <w:tcMar>
              <w:top w:w="80" w:type="dxa"/>
              <w:bottom w:w="80" w:type="dxa"/>
              <w:left w:w="140" w:type="dxa"/>
              <w:right w:w="140" w:type="dxa"/>
            </w:tcMar>
          </w:tcPr>
          <w:p>
            <w:r>
              <w:rPr>
                <w:rFonts w:ascii="Calibri" w:hAnsi="Calibri"/>
                <w:color w:val="222222"/>
                <w:sz w:val="19"/>
              </w:rPr>
              <w:t>evaluate_model.py</w:t>
            </w:r>
          </w:p>
        </w:tc>
        <w:tc>
          <w:tcPr>
            <w:tcW w:type="dxa" w:w="2592"/>
            <w:shd w:fill="F9FAFC"/>
            <w:tcMar>
              <w:top w:w="80" w:type="dxa"/>
              <w:bottom w:w="80" w:type="dxa"/>
              <w:left w:w="140" w:type="dxa"/>
              <w:right w:w="140" w:type="dxa"/>
            </w:tcMar>
          </w:tcPr>
          <w:p>
            <w:r>
              <w:rPr>
                <w:rFonts w:ascii="Calibri" w:hAnsi="Calibri"/>
                <w:color w:val="222222"/>
                <w:sz w:val="19"/>
              </w:rPr>
              <w:t>Academic Model Evaluation &amp; Visualization</w:t>
            </w:r>
          </w:p>
        </w:tc>
        <w:tc>
          <w:tcPr>
            <w:tcW w:type="dxa" w:w="4176"/>
            <w:shd w:fill="F9FAFC"/>
            <w:tcMar>
              <w:top w:w="80" w:type="dxa"/>
              <w:bottom w:w="80" w:type="dxa"/>
              <w:left w:w="140" w:type="dxa"/>
              <w:right w:w="140" w:type="dxa"/>
            </w:tcMar>
          </w:tcPr>
          <w:p>
            <w:r>
              <w:rPr>
                <w:rFonts w:ascii="Calibri" w:hAnsi="Calibri"/>
                <w:color w:val="222222"/>
                <w:sz w:val="19"/>
              </w:rPr>
              <w:t>Runs Stratified 3-Fold Cross-Validation, compares Random Forest against Logistic Regression, exports model_comparison.csv, and generates visual artifacts: outputs/confusion_matrix.png and outputs/roc_curve.png.</w:t>
            </w:r>
          </w:p>
        </w:tc>
      </w:tr>
      <w:tr>
        <w:tc>
          <w:tcPr>
            <w:tcW w:type="dxa" w:w="2592"/>
            <w:shd w:fill="FFFFFF"/>
            <w:tcMar>
              <w:top w:w="80" w:type="dxa"/>
              <w:bottom w:w="80" w:type="dxa"/>
              <w:left w:w="140" w:type="dxa"/>
              <w:right w:w="140" w:type="dxa"/>
            </w:tcMar>
          </w:tcPr>
          <w:p>
            <w:r>
              <w:rPr>
                <w:rFonts w:ascii="Calibri" w:hAnsi="Calibri"/>
                <w:color w:val="222222"/>
                <w:sz w:val="19"/>
              </w:rPr>
              <w:t>benchmark.py</w:t>
            </w:r>
          </w:p>
        </w:tc>
        <w:tc>
          <w:tcPr>
            <w:tcW w:type="dxa" w:w="2592"/>
            <w:shd w:fill="FFFFFF"/>
            <w:tcMar>
              <w:top w:w="80" w:type="dxa"/>
              <w:bottom w:w="80" w:type="dxa"/>
              <w:left w:w="140" w:type="dxa"/>
              <w:right w:w="140" w:type="dxa"/>
            </w:tcMar>
          </w:tcPr>
          <w:p>
            <w:r>
              <w:rPr>
                <w:rFonts w:ascii="Calibri" w:hAnsi="Calibri"/>
                <w:color w:val="222222"/>
                <w:sz w:val="19"/>
              </w:rPr>
              <w:t>Comparative Algorithm Benchmark</w:t>
            </w:r>
          </w:p>
        </w:tc>
        <w:tc>
          <w:tcPr>
            <w:tcW w:type="dxa" w:w="4176"/>
            <w:shd w:fill="FFFFFF"/>
            <w:tcMar>
              <w:top w:w="80" w:type="dxa"/>
              <w:bottom w:w="80" w:type="dxa"/>
              <w:left w:w="140" w:type="dxa"/>
              <w:right w:w="140" w:type="dxa"/>
            </w:tcMar>
          </w:tcPr>
          <w:p>
            <w:r>
              <w:rPr>
                <w:rFonts w:ascii="Calibri" w:hAnsi="Calibri"/>
                <w:color w:val="222222"/>
                <w:sz w:val="19"/>
              </w:rPr>
              <w:t>Executes 5-fold cross-validation benchmarking across Random Forest, Gradient Boosting (GBDT), and Logistic Regression to academically justify model selection.</w:t>
            </w:r>
          </w:p>
        </w:tc>
      </w:tr>
      <w:tr>
        <w:tc>
          <w:tcPr>
            <w:tcW w:type="dxa" w:w="2592"/>
            <w:shd w:fill="F9FAFC"/>
            <w:tcMar>
              <w:top w:w="80" w:type="dxa"/>
              <w:bottom w:w="80" w:type="dxa"/>
              <w:left w:w="140" w:type="dxa"/>
              <w:right w:w="140" w:type="dxa"/>
            </w:tcMar>
          </w:tcPr>
          <w:p>
            <w:r>
              <w:rPr>
                <w:rFonts w:ascii="Calibri" w:hAnsi="Calibri"/>
                <w:color w:val="222222"/>
                <w:sz w:val="19"/>
              </w:rPr>
              <w:t>explain_model.py</w:t>
            </w:r>
          </w:p>
        </w:tc>
        <w:tc>
          <w:tcPr>
            <w:tcW w:type="dxa" w:w="2592"/>
            <w:shd w:fill="F9FAFC"/>
            <w:tcMar>
              <w:top w:w="80" w:type="dxa"/>
              <w:bottom w:w="80" w:type="dxa"/>
              <w:left w:w="140" w:type="dxa"/>
              <w:right w:w="140" w:type="dxa"/>
            </w:tcMar>
          </w:tcPr>
          <w:p>
            <w:r>
              <w:rPr>
                <w:rFonts w:ascii="Calibri" w:hAnsi="Calibri"/>
                <w:color w:val="222222"/>
                <w:sz w:val="19"/>
              </w:rPr>
              <w:t>SHAP Global Explainability Script</w:t>
            </w:r>
          </w:p>
        </w:tc>
        <w:tc>
          <w:tcPr>
            <w:tcW w:type="dxa" w:w="4176"/>
            <w:shd w:fill="F9FAFC"/>
            <w:tcMar>
              <w:top w:w="80" w:type="dxa"/>
              <w:bottom w:w="80" w:type="dxa"/>
              <w:left w:w="140" w:type="dxa"/>
              <w:right w:w="140" w:type="dxa"/>
            </w:tcMar>
          </w:tcPr>
          <w:p>
            <w:r>
              <w:rPr>
                <w:rFonts w:ascii="Calibri" w:hAnsi="Calibri"/>
                <w:color w:val="222222"/>
                <w:sz w:val="19"/>
              </w:rPr>
              <w:t>Initializes a shap.TreeExplainer on the saved model and generates outputs/shap_summary.png, graphing the top global features driving malware predictions across the dataset.</w:t>
            </w:r>
          </w:p>
        </w:tc>
      </w:tr>
      <w:tr>
        <w:tc>
          <w:tcPr>
            <w:tcW w:type="dxa" w:w="2592"/>
            <w:shd w:fill="FFFFFF"/>
            <w:tcMar>
              <w:top w:w="80" w:type="dxa"/>
              <w:bottom w:w="80" w:type="dxa"/>
              <w:left w:w="140" w:type="dxa"/>
              <w:right w:w="140" w:type="dxa"/>
            </w:tcMar>
          </w:tcPr>
          <w:p>
            <w:r>
              <w:rPr>
                <w:rFonts w:ascii="Calibri" w:hAnsi="Calibri"/>
                <w:color w:val="222222"/>
                <w:sz w:val="19"/>
              </w:rPr>
              <w:t>test_lime.py</w:t>
            </w:r>
          </w:p>
        </w:tc>
        <w:tc>
          <w:tcPr>
            <w:tcW w:type="dxa" w:w="2592"/>
            <w:shd w:fill="FFFFFF"/>
            <w:tcMar>
              <w:top w:w="80" w:type="dxa"/>
              <w:bottom w:w="80" w:type="dxa"/>
              <w:left w:w="140" w:type="dxa"/>
              <w:right w:w="140" w:type="dxa"/>
            </w:tcMar>
          </w:tcPr>
          <w:p>
            <w:r>
              <w:rPr>
                <w:rFonts w:ascii="Calibri" w:hAnsi="Calibri"/>
                <w:color w:val="222222"/>
                <w:sz w:val="19"/>
              </w:rPr>
              <w:t>LIME Local Attribution Validation</w:t>
            </w:r>
          </w:p>
        </w:tc>
        <w:tc>
          <w:tcPr>
            <w:tcW w:type="dxa" w:w="4176"/>
            <w:shd w:fill="FFFFFF"/>
            <w:tcMar>
              <w:top w:w="80" w:type="dxa"/>
              <w:bottom w:w="80" w:type="dxa"/>
              <w:left w:w="140" w:type="dxa"/>
              <w:right w:w="140" w:type="dxa"/>
            </w:tcMar>
          </w:tcPr>
          <w:p>
            <w:r>
              <w:rPr>
                <w:rFonts w:ascii="Calibri" w:hAnsi="Calibri"/>
                <w:color w:val="222222"/>
                <w:sz w:val="19"/>
              </w:rPr>
              <w:t>Initializes LimeTabularExplainer on memory features, takes a test malware instance, and extracts local linear surrogate rules (feature conditions and weights).</w:t>
            </w:r>
          </w:p>
        </w:tc>
      </w:tr>
      <w:tr>
        <w:tc>
          <w:tcPr>
            <w:tcW w:type="dxa" w:w="2592"/>
            <w:shd w:fill="F9FAFC"/>
            <w:tcMar>
              <w:top w:w="80" w:type="dxa"/>
              <w:bottom w:w="80" w:type="dxa"/>
              <w:left w:w="140" w:type="dxa"/>
              <w:right w:w="140" w:type="dxa"/>
            </w:tcMar>
          </w:tcPr>
          <w:p>
            <w:r>
              <w:rPr>
                <w:rFonts w:ascii="Calibri" w:hAnsi="Calibri"/>
                <w:color w:val="222222"/>
                <w:sz w:val="19"/>
              </w:rPr>
              <w:t>verify_data_integrity.py</w:t>
            </w:r>
          </w:p>
        </w:tc>
        <w:tc>
          <w:tcPr>
            <w:tcW w:type="dxa" w:w="2592"/>
            <w:shd w:fill="F9FAFC"/>
            <w:tcMar>
              <w:top w:w="80" w:type="dxa"/>
              <w:bottom w:w="80" w:type="dxa"/>
              <w:left w:w="140" w:type="dxa"/>
              <w:right w:w="140" w:type="dxa"/>
            </w:tcMar>
          </w:tcPr>
          <w:p>
            <w:r>
              <w:rPr>
                <w:rFonts w:ascii="Calibri" w:hAnsi="Calibri"/>
                <w:color w:val="222222"/>
                <w:sz w:val="19"/>
              </w:rPr>
              <w:t>Data Leakage &amp; Integrity Auditor</w:t>
            </w:r>
          </w:p>
        </w:tc>
        <w:tc>
          <w:tcPr>
            <w:tcW w:type="dxa" w:w="4176"/>
            <w:shd w:fill="F9FAFC"/>
            <w:tcMar>
              <w:top w:w="80" w:type="dxa"/>
              <w:bottom w:w="80" w:type="dxa"/>
              <w:left w:w="140" w:type="dxa"/>
              <w:right w:w="140" w:type="dxa"/>
            </w:tcMar>
          </w:tcPr>
          <w:p>
            <w:r>
              <w:rPr>
                <w:rFonts w:ascii="Calibri" w:hAnsi="Calibri"/>
                <w:color w:val="222222"/>
                <w:sz w:val="19"/>
              </w:rPr>
              <w:t>Audits dataset rows, verifies 0 duplicate entries, checks for target label leakage in features, and confirms all 55 features are clean numerical metrics.</w:t>
            </w:r>
          </w:p>
        </w:tc>
      </w:tr>
      <w:tr>
        <w:tc>
          <w:tcPr>
            <w:tcW w:type="dxa" w:w="2592"/>
            <w:shd w:fill="FFFFFF"/>
            <w:tcMar>
              <w:top w:w="80" w:type="dxa"/>
              <w:bottom w:w="80" w:type="dxa"/>
              <w:left w:w="140" w:type="dxa"/>
              <w:right w:w="140" w:type="dxa"/>
            </w:tcMar>
          </w:tcPr>
          <w:p>
            <w:r>
              <w:rPr>
                <w:rFonts w:ascii="Calibri" w:hAnsi="Calibri"/>
                <w:color w:val="222222"/>
                <w:sz w:val="19"/>
              </w:rPr>
              <w:t>validate_input.py</w:t>
            </w:r>
          </w:p>
        </w:tc>
        <w:tc>
          <w:tcPr>
            <w:tcW w:type="dxa" w:w="2592"/>
            <w:shd w:fill="FFFFFF"/>
            <w:tcMar>
              <w:top w:w="80" w:type="dxa"/>
              <w:bottom w:w="80" w:type="dxa"/>
              <w:left w:w="140" w:type="dxa"/>
              <w:right w:w="140" w:type="dxa"/>
            </w:tcMar>
          </w:tcPr>
          <w:p>
            <w:r>
              <w:rPr>
                <w:rFonts w:ascii="Calibri" w:hAnsi="Calibri"/>
                <w:color w:val="222222"/>
                <w:sz w:val="19"/>
              </w:rPr>
              <w:t>Pre-Flight Evidence-Gating Utility</w:t>
            </w:r>
          </w:p>
        </w:tc>
        <w:tc>
          <w:tcPr>
            <w:tcW w:type="dxa" w:w="4176"/>
            <w:shd w:fill="FFFFFF"/>
            <w:tcMar>
              <w:top w:w="80" w:type="dxa"/>
              <w:bottom w:w="80" w:type="dxa"/>
              <w:left w:w="140" w:type="dxa"/>
              <w:right w:w="140" w:type="dxa"/>
            </w:tcMar>
          </w:tcPr>
          <w:p>
            <w:r>
              <w:rPr>
                <w:rFonts w:ascii="Calibri" w:hAnsi="Calibri"/>
                <w:color w:val="222222"/>
                <w:sz w:val="19"/>
              </w:rPr>
              <w:t>Production sanity-checking function that inspects uploaded CSVs for empty files, column header syntax discrepancies (dot vs underscore), and imputes missing values.</w:t>
            </w:r>
          </w:p>
        </w:tc>
      </w:tr>
      <w:tr>
        <w:tc>
          <w:tcPr>
            <w:tcW w:type="dxa" w:w="2592"/>
            <w:shd w:fill="F9FAFC"/>
            <w:tcMar>
              <w:top w:w="80" w:type="dxa"/>
              <w:bottom w:w="80" w:type="dxa"/>
              <w:left w:w="140" w:type="dxa"/>
              <w:right w:w="140" w:type="dxa"/>
            </w:tcMar>
          </w:tcPr>
          <w:p>
            <w:r>
              <w:rPr>
                <w:rFonts w:ascii="Calibri" w:hAnsi="Calibri"/>
                <w:color w:val="222222"/>
                <w:sz w:val="19"/>
              </w:rPr>
              <w:t>simulate_zeroday.py</w:t>
            </w:r>
          </w:p>
        </w:tc>
        <w:tc>
          <w:tcPr>
            <w:tcW w:type="dxa" w:w="2592"/>
            <w:shd w:fill="F9FAFC"/>
            <w:tcMar>
              <w:top w:w="80" w:type="dxa"/>
              <w:bottom w:w="80" w:type="dxa"/>
              <w:left w:w="140" w:type="dxa"/>
              <w:right w:w="140" w:type="dxa"/>
            </w:tcMar>
          </w:tcPr>
          <w:p>
            <w:r>
              <w:rPr>
                <w:rFonts w:ascii="Calibri" w:hAnsi="Calibri"/>
                <w:color w:val="222222"/>
                <w:sz w:val="19"/>
              </w:rPr>
              <w:t>Adversarial Zero-Day Simulator</w:t>
            </w:r>
          </w:p>
        </w:tc>
        <w:tc>
          <w:tcPr>
            <w:tcW w:type="dxa" w:w="4176"/>
            <w:shd w:fill="F9FAFC"/>
            <w:tcMar>
              <w:top w:w="80" w:type="dxa"/>
              <w:bottom w:w="80" w:type="dxa"/>
              <w:left w:w="140" w:type="dxa"/>
              <w:right w:w="140" w:type="dxa"/>
            </w:tcMar>
          </w:tcPr>
          <w:p>
            <w:r>
              <w:rPr>
                <w:rFonts w:ascii="Calibri" w:hAnsi="Calibri"/>
                <w:color w:val="222222"/>
                <w:sz w:val="19"/>
              </w:rPr>
              <w:t>Samples a heavily infected memory profile, mutates key injection and process parameters beyond training distribution, strips labels, and outputs data/apt_zero_day.csv.</w:t>
            </w:r>
          </w:p>
        </w:tc>
      </w:tr>
      <w:tr>
        <w:tc>
          <w:tcPr>
            <w:tcW w:type="dxa" w:w="2592"/>
            <w:shd w:fill="FFFFFF"/>
            <w:tcMar>
              <w:top w:w="80" w:type="dxa"/>
              <w:bottom w:w="80" w:type="dxa"/>
              <w:left w:w="140" w:type="dxa"/>
              <w:right w:w="140" w:type="dxa"/>
            </w:tcMar>
          </w:tcPr>
          <w:p>
            <w:r>
              <w:rPr>
                <w:rFonts w:ascii="Calibri" w:hAnsi="Calibri"/>
                <w:color w:val="222222"/>
                <w:sz w:val="19"/>
              </w:rPr>
              <w:t>generate_synthetic_threats.py</w:t>
            </w:r>
          </w:p>
        </w:tc>
        <w:tc>
          <w:tcPr>
            <w:tcW w:type="dxa" w:w="2592"/>
            <w:shd w:fill="FFFFFF"/>
            <w:tcMar>
              <w:top w:w="80" w:type="dxa"/>
              <w:bottom w:w="80" w:type="dxa"/>
              <w:left w:w="140" w:type="dxa"/>
              <w:right w:w="140" w:type="dxa"/>
            </w:tcMar>
          </w:tcPr>
          <w:p>
            <w:r>
              <w:rPr>
                <w:rFonts w:ascii="Calibri" w:hAnsi="Calibri"/>
                <w:color w:val="222222"/>
                <w:sz w:val="19"/>
              </w:rPr>
              <w:t>Targeted Threat Profile Generator</w:t>
            </w:r>
          </w:p>
        </w:tc>
        <w:tc>
          <w:tcPr>
            <w:tcW w:type="dxa" w:w="4176"/>
            <w:shd w:fill="FFFFFF"/>
            <w:tcMar>
              <w:top w:w="80" w:type="dxa"/>
              <w:bottom w:w="80" w:type="dxa"/>
              <w:left w:w="140" w:type="dxa"/>
              <w:right w:w="140" w:type="dxa"/>
            </w:tcMar>
          </w:tcPr>
          <w:p>
            <w:r>
              <w:rPr>
                <w:rFonts w:ascii="Calibri" w:hAnsi="Calibri"/>
                <w:color w:val="222222"/>
                <w:sz w:val="19"/>
              </w:rPr>
              <w:t>Creates realistic threat scenario profiles in data/test_samples/:</w:t>
              <w:br/>
              <w:t>• fresh_stealth_rootkit.csv (DKOM)</w:t>
              <w:br/>
              <w:t>• fresh_aggressive_ransomware.csv (Handles)</w:t>
              <w:br/>
              <w:t>• fresh_fileless_miner.csv (Injections)</w:t>
            </w:r>
          </w:p>
        </w:tc>
      </w:tr>
      <w:tr>
        <w:tc>
          <w:tcPr>
            <w:tcW w:type="dxa" w:w="2592"/>
            <w:shd w:fill="F9FAFC"/>
            <w:tcMar>
              <w:top w:w="80" w:type="dxa"/>
              <w:bottom w:w="80" w:type="dxa"/>
              <w:left w:w="140" w:type="dxa"/>
              <w:right w:w="140" w:type="dxa"/>
            </w:tcMar>
          </w:tcPr>
          <w:p>
            <w:r>
              <w:rPr>
                <w:rFonts w:ascii="Calibri" w:hAnsi="Calibri"/>
                <w:color w:val="222222"/>
                <w:sz w:val="19"/>
              </w:rPr>
              <w:t>extract_real_benign.py</w:t>
            </w:r>
          </w:p>
        </w:tc>
        <w:tc>
          <w:tcPr>
            <w:tcW w:type="dxa" w:w="2592"/>
            <w:shd w:fill="F9FAFC"/>
            <w:tcMar>
              <w:top w:w="80" w:type="dxa"/>
              <w:bottom w:w="80" w:type="dxa"/>
              <w:left w:w="140" w:type="dxa"/>
              <w:right w:w="140" w:type="dxa"/>
            </w:tcMar>
          </w:tcPr>
          <w:p>
            <w:r>
              <w:rPr>
                <w:rFonts w:ascii="Calibri" w:hAnsi="Calibri"/>
                <w:color w:val="222222"/>
                <w:sz w:val="19"/>
              </w:rPr>
              <w:t>Authentic Clean Baseline Extractor</w:t>
            </w:r>
          </w:p>
        </w:tc>
        <w:tc>
          <w:tcPr>
            <w:tcW w:type="dxa" w:w="4176"/>
            <w:shd w:fill="F9FAFC"/>
            <w:tcMar>
              <w:top w:w="80" w:type="dxa"/>
              <w:bottom w:w="80" w:type="dxa"/>
              <w:left w:w="140" w:type="dxa"/>
              <w:right w:w="140" w:type="dxa"/>
            </w:tcMar>
          </w:tcPr>
          <w:p>
            <w:r>
              <w:rPr>
                <w:rFonts w:ascii="Calibri" w:hAnsi="Calibri"/>
                <w:color w:val="222222"/>
                <w:sz w:val="19"/>
              </w:rPr>
              <w:t>Extracts unlabelled, genuine benign system memory profiles from the primary dataset and exports real_benign_sample.csv for live dashboard demonstrations.</w:t>
            </w:r>
          </w:p>
        </w:tc>
      </w:tr>
      <w:tr>
        <w:tc>
          <w:tcPr>
            <w:tcW w:type="dxa" w:w="2592"/>
            <w:shd w:fill="FFFFFF"/>
            <w:tcMar>
              <w:top w:w="80" w:type="dxa"/>
              <w:bottom w:w="80" w:type="dxa"/>
              <w:left w:w="140" w:type="dxa"/>
              <w:right w:w="140" w:type="dxa"/>
            </w:tcMar>
          </w:tcPr>
          <w:p>
            <w:r>
              <w:rPr>
                <w:rFonts w:ascii="Calibri" w:hAnsi="Calibri"/>
                <w:color w:val="222222"/>
                <w:sz w:val="19"/>
              </w:rPr>
              <w:t>extract_confident_samples.py</w:t>
            </w:r>
          </w:p>
        </w:tc>
        <w:tc>
          <w:tcPr>
            <w:tcW w:type="dxa" w:w="2592"/>
            <w:shd w:fill="FFFFFF"/>
            <w:tcMar>
              <w:top w:w="80" w:type="dxa"/>
              <w:bottom w:w="80" w:type="dxa"/>
              <w:left w:w="140" w:type="dxa"/>
              <w:right w:w="140" w:type="dxa"/>
            </w:tcMar>
          </w:tcPr>
          <w:p>
            <w:r>
              <w:rPr>
                <w:rFonts w:ascii="Calibri" w:hAnsi="Calibri"/>
                <w:color w:val="222222"/>
                <w:sz w:val="19"/>
              </w:rPr>
              <w:t>High-Confidence Sample Extractor</w:t>
            </w:r>
          </w:p>
        </w:tc>
        <w:tc>
          <w:tcPr>
            <w:tcW w:type="dxa" w:w="4176"/>
            <w:shd w:fill="FFFFFF"/>
            <w:tcMar>
              <w:top w:w="80" w:type="dxa"/>
              <w:bottom w:w="80" w:type="dxa"/>
              <w:left w:w="140" w:type="dxa"/>
              <w:right w:w="140" w:type="dxa"/>
            </w:tcMar>
          </w:tcPr>
          <w:p>
            <w:r>
              <w:rPr>
                <w:rFonts w:ascii="Calibri" w:hAnsi="Calibri"/>
                <w:color w:val="222222"/>
                <w:sz w:val="19"/>
              </w:rPr>
              <w:t>Extracts verified 0% risk benign and 100% risk malware samples (guaranteed_benign.csv and guaranteed_malware.csv) for repeatable evaluation.</w:t>
            </w:r>
          </w:p>
        </w:tc>
      </w:tr>
      <w:tr>
        <w:tc>
          <w:tcPr>
            <w:tcW w:type="dxa" w:w="2592"/>
            <w:shd w:fill="F9FAFC"/>
            <w:tcMar>
              <w:top w:w="80" w:type="dxa"/>
              <w:bottom w:w="80" w:type="dxa"/>
              <w:left w:w="140" w:type="dxa"/>
              <w:right w:w="140" w:type="dxa"/>
            </w:tcMar>
          </w:tcPr>
          <w:p>
            <w:r>
              <w:rPr>
                <w:rFonts w:ascii="Calibri" w:hAnsi="Calibri"/>
                <w:color w:val="222222"/>
                <w:sz w:val="19"/>
              </w:rPr>
              <w:t>generate_report.py</w:t>
            </w:r>
          </w:p>
        </w:tc>
        <w:tc>
          <w:tcPr>
            <w:tcW w:type="dxa" w:w="2592"/>
            <w:shd w:fill="F9FAFC"/>
            <w:tcMar>
              <w:top w:w="80" w:type="dxa"/>
              <w:bottom w:w="80" w:type="dxa"/>
              <w:left w:w="140" w:type="dxa"/>
              <w:right w:w="140" w:type="dxa"/>
            </w:tcMar>
          </w:tcPr>
          <w:p>
            <w:r>
              <w:rPr>
                <w:rFonts w:ascii="Calibri" w:hAnsi="Calibri"/>
                <w:color w:val="222222"/>
                <w:sz w:val="19"/>
              </w:rPr>
              <w:t>Standalone PDF Report Generator</w:t>
            </w:r>
          </w:p>
        </w:tc>
        <w:tc>
          <w:tcPr>
            <w:tcW w:type="dxa" w:w="4176"/>
            <w:shd w:fill="F9FAFC"/>
            <w:tcMar>
              <w:top w:w="80" w:type="dxa"/>
              <w:bottom w:w="80" w:type="dxa"/>
              <w:left w:w="140" w:type="dxa"/>
              <w:right w:w="140" w:type="dxa"/>
            </w:tcMar>
          </w:tcPr>
          <w:p>
            <w:r>
              <w:rPr>
                <w:rFonts w:ascii="Calibri" w:hAnsi="Calibri"/>
                <w:color w:val="222222"/>
                <w:sz w:val="19"/>
              </w:rPr>
              <w:t>ReportLab script that programmatically compiles a forensic triage PDF brief including executive tables, indicators, and incident response playbooks.</w:t>
            </w:r>
          </w:p>
        </w:tc>
      </w:tr>
    </w:tbl>
    <w:p>
      <w:pPr>
        <w:spacing w:after="200"/>
      </w:pPr>
    </w:p>
    <w:p>
      <w:pPr>
        <w:pStyle w:val="Heading1"/>
        <w:spacing w:before="280" w:after="120"/>
      </w:pPr>
      <w:r>
        <w:t>7. Inside the Web Application (app.py)</w:t>
      </w:r>
    </w:p>
    <w:p>
      <w:r>
        <w:t>app.py is the production nerve center of the project, implemented in Streamlit. It provides an intuitive, interactive cyber forensic cockpit styled with a modern glassmorphic dark theme. Here is how each major code section operates:</w:t>
      </w:r>
    </w:p>
    <w:p>
      <w:pPr>
        <w:spacing w:after="60"/>
        <w:ind w:left="288"/>
      </w:pPr>
      <w:r>
        <w:rPr>
          <w:b/>
        </w:rPr>
        <w:t xml:space="preserve">• Section 1-3: Setup &amp; Audit Logger: </w:t>
      </w:r>
      <w:r>
        <w:t>Configures logging to logs/triage_audit.log. Every triage run is logged with an immutable timestamp, evidence hash, file name, row number, risk classification, and anomaly flag.</w:t>
      </w:r>
    </w:p>
    <w:p>
      <w:pPr>
        <w:spacing w:after="60"/>
        <w:ind w:left="288"/>
      </w:pPr>
      <w:r>
        <w:rPr>
          <w:b/>
        </w:rPr>
        <w:t xml:space="preserve">• Section 4: FEATURE_MEANINGS Dictionary: </w:t>
      </w:r>
      <w:r>
        <w:t>A comprehensive plain-English dictionary mapping cryptic Volatility metrics (e.g. handles.avg_handles_per_proc) to plain-English titles, technical descriptions, and real-world threat explanations.</w:t>
      </w:r>
    </w:p>
    <w:p>
      <w:pPr>
        <w:spacing w:after="60"/>
        <w:ind w:left="288"/>
      </w:pPr>
      <w:r>
        <w:rPr>
          <w:b/>
        </w:rPr>
        <w:t xml:space="preserve">• Section 5: Cached Resource Loaders: </w:t>
      </w:r>
      <w:r>
        <w:t>Uses @st.cache_resource and @st.cache_data to load the Random Forest model, Isolation Forest model, and 500-row background dataset once into memory, keeping dashboard inference instant (&lt; 50ms).</w:t>
      </w:r>
    </w:p>
    <w:p>
      <w:pPr>
        <w:spacing w:after="60"/>
        <w:ind w:left="288"/>
      </w:pPr>
      <w:r>
        <w:rPr>
          <w:b/>
        </w:rPr>
        <w:t xml:space="preserve">• Section 6: Core Triage Function (run_triage): </w:t>
      </w:r>
      <w:r>
        <w:t>Accepts sample DataFrame, aligns columns to expected_cols, calculates malware probability via rf_model.predict_proba, predicts zero-day outliers via iso_model, and computes SHA-256 evidence hash.</w:t>
      </w:r>
    </w:p>
    <w:p>
      <w:pPr>
        <w:spacing w:after="60"/>
        <w:ind w:left="288"/>
      </w:pPr>
      <w:r>
        <w:rPr>
          <w:b/>
        </w:rPr>
        <w:t xml:space="preserve">• Section 7: SHAP Explanation Renderer: </w:t>
      </w:r>
      <w:r>
        <w:t>Calculates exact Shapley values using TreeExplainer, sorts top 10 impactful indicators, renders 3 Plain-English Decision Driver Cards, and outputs a horizontal waterfall impact chart.</w:t>
      </w:r>
    </w:p>
    <w:p>
      <w:pPr>
        <w:spacing w:after="60"/>
        <w:ind w:left="288"/>
      </w:pPr>
      <w:r>
        <w:rPr>
          <w:b/>
        </w:rPr>
        <w:t xml:space="preserve">• Section 8: LIME Explanation Renderer: </w:t>
      </w:r>
      <w:r>
        <w:t>Generates local surrogate linear decision rules with LimeTabularExplainer, displaying the observed condition (e.g., malfind.ninjections &gt; 1.00) and whether it pushed the verdict toward Malware or Benign.</w:t>
      </w:r>
    </w:p>
    <w:p>
      <w:pPr>
        <w:spacing w:after="60"/>
        <w:ind w:left="288"/>
      </w:pPr>
      <w:r>
        <w:rPr>
          <w:b/>
        </w:rPr>
        <w:t xml:space="preserve">• Section 9: ReportLab PDF Generator: </w:t>
      </w:r>
      <w:r>
        <w:t>Dynamically compiles a multi-page, executive Forensic Incident Dossier containing chain-of-custody hashes, verdict tables, top SHAP/LIME indicators, and incident response recommendations.</w:t>
      </w:r>
    </w:p>
    <w:p>
      <w:pPr>
        <w:spacing w:after="60"/>
        <w:ind w:left="288"/>
      </w:pPr>
      <w:r>
        <w:rPr>
          <w:b/>
        </w:rPr>
        <w:t xml:space="preserve">• Section 10-12: Interactive UI &amp; Batch Scoring: </w:t>
      </w:r>
      <w:r>
        <w:t>Allows analysts to either upload custom CSV files or quick-load verified threat presets, inspect raw metrics, execute single-row deep-dive triage, or run rapid batch scoring across all records.</w:t>
      </w:r>
    </w:p>
    <w:p>
      <w:pPr>
        <w:pStyle w:val="Heading1"/>
        <w:spacing w:before="280" w:after="120"/>
      </w:pPr>
      <w:r>
        <w:t>8. The Explainable AI (XAI) Framework: SHAP vs. LIME</w:t>
      </w:r>
    </w:p>
    <w:p>
      <w:r>
        <w:t>One of the biggest strengths of this project is the Dual XAI Framework. In forensic science, evidence must be explainable in a court of law. An analyst cannot simply say 'The AI said it was malware.'</w:t>
      </w:r>
    </w:p>
    <w:tbl>
      <w:tblPr>
        <w:tblW w:type="auto" w:w="0"/>
        <w:jc w:val="center"/>
        <w:tblLook w:firstColumn="1" w:firstRow="1" w:lastColumn="0" w:lastRow="0" w:noHBand="0" w:noVBand="1" w:val="04A0"/>
      </w:tblPr>
      <w:tblGrid>
        <w:gridCol w:w="3120"/>
        <w:gridCol w:w="3120"/>
        <w:gridCol w:w="3120"/>
      </w:tblGrid>
      <w:tr>
        <w:tc>
          <w:tcPr>
            <w:tcW w:type="dxa" w:w="2592"/>
            <w:shd w:fill="1F3864"/>
            <w:tcMar>
              <w:top w:w="100" w:type="dxa"/>
              <w:bottom w:w="100" w:type="dxa"/>
              <w:left w:w="140" w:type="dxa"/>
              <w:right w:w="140" w:type="dxa"/>
            </w:tcMar>
          </w:tcPr>
          <w:p>
            <w:r>
              <w:rPr>
                <w:rFonts w:ascii="Calibri" w:hAnsi="Calibri"/>
                <w:b/>
                <w:color w:val="FFFFFF"/>
                <w:sz w:val="20"/>
              </w:rPr>
              <w:t>Comparison Dimension</w:t>
            </w:r>
          </w:p>
        </w:tc>
        <w:tc>
          <w:tcPr>
            <w:tcW w:type="dxa" w:w="3456"/>
            <w:shd w:fill="1F3864"/>
            <w:tcMar>
              <w:top w:w="100" w:type="dxa"/>
              <w:bottom w:w="100" w:type="dxa"/>
              <w:left w:w="140" w:type="dxa"/>
              <w:right w:w="140" w:type="dxa"/>
            </w:tcMar>
          </w:tcPr>
          <w:p>
            <w:r>
              <w:rPr>
                <w:rFonts w:ascii="Calibri" w:hAnsi="Calibri"/>
                <w:b/>
                <w:color w:val="FFFFFF"/>
                <w:sz w:val="20"/>
              </w:rPr>
              <w:t>SHAP (TreeExplainer)</w:t>
            </w:r>
          </w:p>
        </w:tc>
        <w:tc>
          <w:tcPr>
            <w:tcW w:type="dxa" w:w="3456"/>
            <w:shd w:fill="1F3864"/>
            <w:tcMar>
              <w:top w:w="100" w:type="dxa"/>
              <w:bottom w:w="100" w:type="dxa"/>
              <w:left w:w="140" w:type="dxa"/>
              <w:right w:w="140" w:type="dxa"/>
            </w:tcMar>
          </w:tcPr>
          <w:p>
            <w:r>
              <w:rPr>
                <w:rFonts w:ascii="Calibri" w:hAnsi="Calibri"/>
                <w:b/>
                <w:color w:val="FFFFFF"/>
                <w:sz w:val="20"/>
              </w:rPr>
              <w:t>LIME (LimeTabularExplainer)</w:t>
            </w:r>
          </w:p>
        </w:tc>
      </w:tr>
      <w:tr>
        <w:tc>
          <w:tcPr>
            <w:tcW w:type="dxa" w:w="2592"/>
            <w:shd w:fill="F9FAFC"/>
            <w:tcMar>
              <w:top w:w="80" w:type="dxa"/>
              <w:bottom w:w="80" w:type="dxa"/>
              <w:left w:w="140" w:type="dxa"/>
              <w:right w:w="140" w:type="dxa"/>
            </w:tcMar>
          </w:tcPr>
          <w:p>
            <w:r>
              <w:rPr>
                <w:rFonts w:ascii="Calibri" w:hAnsi="Calibri"/>
                <w:color w:val="222222"/>
                <w:sz w:val="19"/>
              </w:rPr>
              <w:t>Foundational Theory</w:t>
            </w:r>
          </w:p>
        </w:tc>
        <w:tc>
          <w:tcPr>
            <w:tcW w:type="dxa" w:w="3456"/>
            <w:shd w:fill="F9FAFC"/>
            <w:tcMar>
              <w:top w:w="80" w:type="dxa"/>
              <w:bottom w:w="80" w:type="dxa"/>
              <w:left w:w="140" w:type="dxa"/>
              <w:right w:w="140" w:type="dxa"/>
            </w:tcMar>
          </w:tcPr>
          <w:p>
            <w:r>
              <w:rPr>
                <w:rFonts w:ascii="Calibri" w:hAnsi="Calibri"/>
                <w:color w:val="222222"/>
                <w:sz w:val="19"/>
              </w:rPr>
              <w:t>Cooperative Game Theory (Lloyd Shapley, 1953). Treats features as players in a game cooperating to achieve a prediction.</w:t>
            </w:r>
          </w:p>
        </w:tc>
        <w:tc>
          <w:tcPr>
            <w:tcW w:type="dxa" w:w="3456"/>
            <w:shd w:fill="F9FAFC"/>
            <w:tcMar>
              <w:top w:w="80" w:type="dxa"/>
              <w:bottom w:w="80" w:type="dxa"/>
              <w:left w:w="140" w:type="dxa"/>
              <w:right w:w="140" w:type="dxa"/>
            </w:tcMar>
          </w:tcPr>
          <w:p>
            <w:r>
              <w:rPr>
                <w:rFonts w:ascii="Calibri" w:hAnsi="Calibri"/>
                <w:color w:val="222222"/>
                <w:sz w:val="19"/>
              </w:rPr>
              <w:t>Local Perturbation Surrogate Modeling (Ribeiro et al., 2016). Treats the model as a black box and probes it locally.</w:t>
            </w:r>
          </w:p>
        </w:tc>
      </w:tr>
      <w:tr>
        <w:tc>
          <w:tcPr>
            <w:tcW w:type="dxa" w:w="2592"/>
            <w:shd w:fill="FFFFFF"/>
            <w:tcMar>
              <w:top w:w="80" w:type="dxa"/>
              <w:bottom w:w="80" w:type="dxa"/>
              <w:left w:w="140" w:type="dxa"/>
              <w:right w:w="140" w:type="dxa"/>
            </w:tcMar>
          </w:tcPr>
          <w:p>
            <w:r>
              <w:rPr>
                <w:rFonts w:ascii="Calibri" w:hAnsi="Calibri"/>
                <w:color w:val="222222"/>
                <w:sz w:val="19"/>
              </w:rPr>
              <w:t>Explainability Scope</w:t>
            </w:r>
          </w:p>
        </w:tc>
        <w:tc>
          <w:tcPr>
            <w:tcW w:type="dxa" w:w="3456"/>
            <w:shd w:fill="FFFFFF"/>
            <w:tcMar>
              <w:top w:w="80" w:type="dxa"/>
              <w:bottom w:w="80" w:type="dxa"/>
              <w:left w:w="140" w:type="dxa"/>
              <w:right w:w="140" w:type="dxa"/>
            </w:tcMar>
          </w:tcPr>
          <w:p>
            <w:r>
              <w:rPr>
                <w:rFonts w:ascii="Calibri" w:hAnsi="Calibri"/>
                <w:color w:val="222222"/>
                <w:sz w:val="19"/>
              </w:rPr>
              <w:t>Global &amp; Instance-Level: Guarantees consistency across all 55 features and all possible subsets.</w:t>
            </w:r>
          </w:p>
        </w:tc>
        <w:tc>
          <w:tcPr>
            <w:tcW w:type="dxa" w:w="3456"/>
            <w:shd w:fill="FFFFFF"/>
            <w:tcMar>
              <w:top w:w="80" w:type="dxa"/>
              <w:bottom w:w="80" w:type="dxa"/>
              <w:left w:w="140" w:type="dxa"/>
              <w:right w:w="140" w:type="dxa"/>
            </w:tcMar>
          </w:tcPr>
          <w:p>
            <w:r>
              <w:rPr>
                <w:rFonts w:ascii="Calibri" w:hAnsi="Calibri"/>
                <w:color w:val="222222"/>
                <w:sz w:val="19"/>
              </w:rPr>
              <w:t>Local Instance-Level: Explains the decision boundary strictly in the immediate neighborhood of the single evaluated memory profile.</w:t>
            </w:r>
          </w:p>
        </w:tc>
      </w:tr>
      <w:tr>
        <w:tc>
          <w:tcPr>
            <w:tcW w:type="dxa" w:w="2592"/>
            <w:shd w:fill="F9FAFC"/>
            <w:tcMar>
              <w:top w:w="80" w:type="dxa"/>
              <w:bottom w:w="80" w:type="dxa"/>
              <w:left w:w="140" w:type="dxa"/>
              <w:right w:w="140" w:type="dxa"/>
            </w:tcMar>
          </w:tcPr>
          <w:p>
            <w:r>
              <w:rPr>
                <w:rFonts w:ascii="Calibri" w:hAnsi="Calibri"/>
                <w:color w:val="222222"/>
                <w:sz w:val="19"/>
              </w:rPr>
              <w:t>Output Representation</w:t>
            </w:r>
          </w:p>
        </w:tc>
        <w:tc>
          <w:tcPr>
            <w:tcW w:type="dxa" w:w="3456"/>
            <w:shd w:fill="F9FAFC"/>
            <w:tcMar>
              <w:top w:w="80" w:type="dxa"/>
              <w:bottom w:w="80" w:type="dxa"/>
              <w:left w:w="140" w:type="dxa"/>
              <w:right w:w="140" w:type="dxa"/>
            </w:tcMar>
          </w:tcPr>
          <w:p>
            <w:r>
              <w:rPr>
                <w:rFonts w:ascii="Calibri" w:hAnsi="Calibri"/>
                <w:color w:val="222222"/>
                <w:sz w:val="19"/>
              </w:rPr>
              <w:t>Exact additive contribution values (SHAP values) indicating the percentage push toward Malware or Benign.</w:t>
            </w:r>
          </w:p>
        </w:tc>
        <w:tc>
          <w:tcPr>
            <w:tcW w:type="dxa" w:w="3456"/>
            <w:shd w:fill="F9FAFC"/>
            <w:tcMar>
              <w:top w:w="80" w:type="dxa"/>
              <w:bottom w:w="80" w:type="dxa"/>
              <w:left w:w="140" w:type="dxa"/>
              <w:right w:w="140" w:type="dxa"/>
            </w:tcMar>
          </w:tcPr>
          <w:p>
            <w:r>
              <w:rPr>
                <w:rFonts w:ascii="Calibri" w:hAnsi="Calibri"/>
                <w:color w:val="222222"/>
                <w:sz w:val="19"/>
              </w:rPr>
              <w:t>Interpretable threshold rules (e.g., 'handles.avg_handles_per_proc &gt; 9800.00: +0.45 toward Malware').</w:t>
            </w:r>
          </w:p>
        </w:tc>
      </w:tr>
      <w:tr>
        <w:tc>
          <w:tcPr>
            <w:tcW w:type="dxa" w:w="2592"/>
            <w:shd w:fill="FFFFFF"/>
            <w:tcMar>
              <w:top w:w="80" w:type="dxa"/>
              <w:bottom w:w="80" w:type="dxa"/>
              <w:left w:w="140" w:type="dxa"/>
              <w:right w:w="140" w:type="dxa"/>
            </w:tcMar>
          </w:tcPr>
          <w:p>
            <w:r>
              <w:rPr>
                <w:rFonts w:ascii="Calibri" w:hAnsi="Calibri"/>
                <w:color w:val="222222"/>
                <w:sz w:val="19"/>
              </w:rPr>
              <w:t>Role in This Project</w:t>
            </w:r>
          </w:p>
        </w:tc>
        <w:tc>
          <w:tcPr>
            <w:tcW w:type="dxa" w:w="3456"/>
            <w:shd w:fill="FFFFFF"/>
            <w:tcMar>
              <w:top w:w="80" w:type="dxa"/>
              <w:bottom w:w="80" w:type="dxa"/>
              <w:left w:w="140" w:type="dxa"/>
              <w:right w:w="140" w:type="dxa"/>
            </w:tcMar>
          </w:tcPr>
          <w:p>
            <w:r>
              <w:rPr>
                <w:rFonts w:ascii="Calibri" w:hAnsi="Calibri"/>
                <w:color w:val="222222"/>
                <w:sz w:val="19"/>
              </w:rPr>
              <w:t>Identifies the core mathematical decision drivers across the Random Forest decision tree ensemble.</w:t>
            </w:r>
          </w:p>
        </w:tc>
        <w:tc>
          <w:tcPr>
            <w:tcW w:type="dxa" w:w="3456"/>
            <w:shd w:fill="FFFFFF"/>
            <w:tcMar>
              <w:top w:w="80" w:type="dxa"/>
              <w:bottom w:w="80" w:type="dxa"/>
              <w:left w:w="140" w:type="dxa"/>
              <w:right w:w="140" w:type="dxa"/>
            </w:tcMar>
          </w:tcPr>
          <w:p>
            <w:r>
              <w:rPr>
                <w:rFonts w:ascii="Calibri" w:hAnsi="Calibri"/>
                <w:color w:val="222222"/>
                <w:sz w:val="19"/>
              </w:rPr>
              <w:t>Provides independent, human-readable local rule corroboration to validate the SHAP findings.</w:t>
            </w:r>
          </w:p>
        </w:tc>
      </w:tr>
    </w:tbl>
    <w:p>
      <w:pPr>
        <w:spacing w:after="200"/>
      </w:pPr>
    </w:p>
    <w:p>
      <w:pPr>
        <w:pStyle w:val="Heading1"/>
        <w:spacing w:before="280" w:after="120"/>
      </w:pPr>
      <w:r>
        <w:t>9. Examiner / Professor Viva Questions &amp; Model Answers</w:t>
      </w:r>
    </w:p>
    <w:tbl>
      <w:tblPr>
        <w:tblW w:type="auto" w:w="0"/>
        <w:jc w:val="center"/>
        <w:tblLook w:firstColumn="1" w:firstRow="1" w:lastColumn="0" w:lastRow="0" w:noHBand="0" w:noVBand="1" w:val="04A0"/>
      </w:tblPr>
      <w:tblGrid>
        <w:gridCol w:w="9360"/>
      </w:tblGrid>
      <w:tr>
        <w:tc>
          <w:tcPr>
            <w:tcW w:type="dxa" w:w="9360"/>
            <w:shd w:fill="F2F4F8"/>
            <w:tcMar>
              <w:top w:w="120" w:type="dxa"/>
              <w:bottom w:w="120" w:type="dxa"/>
              <w:left w:w="180" w:type="dxa"/>
              <w:right w:w="180" w:type="dxa"/>
            </w:tcMar>
            <w:tcBorders>
              <w:left w:val="single" w:sz="24" w:space="0" w:color="1F3864"/>
              <w:top w:val="none"/>
              <w:right w:val="none"/>
              <w:bottom w:val="none"/>
            </w:tcBorders>
          </w:tcPr>
          <w:p>
            <w:pPr>
              <w:spacing w:before="40" w:after="80"/>
            </w:pPr>
            <w:r>
              <w:rPr>
                <w:rFonts w:ascii="Calibri" w:hAnsi="Calibri"/>
                <w:b/>
                <w:color w:val="1F3864"/>
                <w:sz w:val="22"/>
              </w:rPr>
              <w:t>📌 Q1: Why did you use Random Forest instead of Deep Learning (like CNNs or LSTMs)?</w:t>
              <w:br/>
            </w:r>
            <w:r>
              <w:rPr>
                <w:rFonts w:ascii="Calibri" w:hAnsi="Calibri"/>
                <w:i/>
                <w:color w:val="333333"/>
                <w:sz w:val="21"/>
              </w:rPr>
              <w:t>"Sir, memory forensics telemetry is tabular, structured data with 55 discrete numerical features. In academic machine learning literature (such as the extensive benchmark studies by Grinsztajn et al. and Shwartz-Ziv &amp; Armon), tree-based ensemble architectures like Random Forest and Gradient Boosting consistently outperform deep neural networks on tabular datasets.</w:t>
              <w:br/>
              <w:br/>
              <w:t>Furthermore, Random Forest offers three critical forensic advantages: (1) it does not easily overfit on correlated tabular data, (2) it allows exact, mathematically rigorous TreeSHAP computation without requiring differentiable approximations, and (3) its inference takes under 50 milliseconds, making it ideal for rapid incident triage."</w:t>
            </w:r>
          </w:p>
        </w:tc>
      </w:tr>
    </w:tbl>
    <w:p>
      <w:pPr>
        <w:spacing w:after="80"/>
      </w:pPr>
    </w:p>
    <w:tbl>
      <w:tblPr>
        <w:tblW w:type="auto" w:w="0"/>
        <w:jc w:val="center"/>
        <w:tblLook w:firstColumn="1" w:firstRow="1" w:lastColumn="0" w:lastRow="0" w:noHBand="0" w:noVBand="1" w:val="04A0"/>
      </w:tblPr>
      <w:tblGrid>
        <w:gridCol w:w="9360"/>
      </w:tblGrid>
      <w:tr>
        <w:tc>
          <w:tcPr>
            <w:tcW w:type="dxa" w:w="9360"/>
            <w:shd w:fill="F2F4F8"/>
            <w:tcMar>
              <w:top w:w="120" w:type="dxa"/>
              <w:bottom w:w="120" w:type="dxa"/>
              <w:left w:w="180" w:type="dxa"/>
              <w:right w:w="180" w:type="dxa"/>
            </w:tcMar>
            <w:tcBorders>
              <w:left w:val="single" w:sz="24" w:space="0" w:color="1F3864"/>
              <w:top w:val="none"/>
              <w:right w:val="none"/>
              <w:bottom w:val="none"/>
            </w:tcBorders>
          </w:tcPr>
          <w:p>
            <w:pPr>
              <w:spacing w:before="40" w:after="80"/>
            </w:pPr>
            <w:r>
              <w:rPr>
                <w:rFonts w:ascii="Calibri" w:hAnsi="Calibri"/>
                <w:b/>
                <w:color w:val="1F3864"/>
                <w:sz w:val="22"/>
              </w:rPr>
              <w:t>📌 Q2: What is 'Data Leakage' and how did you mathematically ensure it did not occur?</w:t>
              <w:br/>
            </w:r>
            <w:r>
              <w:rPr>
                <w:rFonts w:ascii="Calibri" w:hAnsi="Calibri"/>
                <w:i/>
                <w:color w:val="333333"/>
                <w:sz w:val="21"/>
              </w:rPr>
              <w:t>"Data leakage occurs when information from outside the training dataset is used to create the model, artificially inflating test performance. In the MalMem2022 dataset, the raw CSV contained columns like 'Category' (which explicitly spelled out the malware family, e.g., 'Trojan-Emotet') and 'Class' ('Benign' vs 'Malware').</w:t>
              <w:br/>
              <w:br/>
              <w:t>In our data pipeline (audited in scripts/verify_data_integrity.py), we strictly isolated 'Class' as the prediction label y and completely dropped 'Category' before training. The model was trained purely on the 55 independent volatile memory telemetry features (X). In addition, train-test splitting was performed using stratified sampling prior to any model fitting, ensuring no test data was seen during training."</w:t>
            </w:r>
          </w:p>
        </w:tc>
      </w:tr>
    </w:tbl>
    <w:p>
      <w:pPr>
        <w:spacing w:after="80"/>
      </w:pPr>
    </w:p>
    <w:tbl>
      <w:tblPr>
        <w:tblW w:type="auto" w:w="0"/>
        <w:jc w:val="center"/>
        <w:tblLook w:firstColumn="1" w:firstRow="1" w:lastColumn="0" w:lastRow="0" w:noHBand="0" w:noVBand="1" w:val="04A0"/>
      </w:tblPr>
      <w:tblGrid>
        <w:gridCol w:w="9360"/>
      </w:tblGrid>
      <w:tr>
        <w:tc>
          <w:tcPr>
            <w:tcW w:type="dxa" w:w="9360"/>
            <w:shd w:fill="F2F4F8"/>
            <w:tcMar>
              <w:top w:w="120" w:type="dxa"/>
              <w:bottom w:w="120" w:type="dxa"/>
              <w:left w:w="180" w:type="dxa"/>
              <w:right w:w="180" w:type="dxa"/>
            </w:tcMar>
            <w:tcBorders>
              <w:left w:val="single" w:sz="24" w:space="0" w:color="1F3864"/>
              <w:top w:val="none"/>
              <w:right w:val="none"/>
              <w:bottom w:val="none"/>
            </w:tcBorders>
          </w:tcPr>
          <w:p>
            <w:pPr>
              <w:spacing w:before="40" w:after="80"/>
            </w:pPr>
            <w:r>
              <w:rPr>
                <w:rFonts w:ascii="Calibri" w:hAnsi="Calibri"/>
                <w:b/>
                <w:color w:val="1F3864"/>
                <w:sz w:val="22"/>
              </w:rPr>
              <w:t>📌 Q3: Your Random Forest model achieves near 100% accuracy. Is it overfitting?</w:t>
              <w:br/>
            </w:r>
            <w:r>
              <w:rPr>
                <w:rFonts w:ascii="Calibri" w:hAnsi="Calibri"/>
                <w:i/>
                <w:color w:val="333333"/>
                <w:sz w:val="21"/>
              </w:rPr>
              <w:t>"Sir, this is a common and important question. In our pipeline, we proved the model is not merely memorizing the training data through three rigorous checks:</w:t>
              <w:br/>
              <w:br/>
              <w:t>1. Tree Pruning &amp; Regularization: We did not let trees grow unbounded. In evaluate_model.py, we constrained the model with max_depth=12, min_samples_split=10, min_samples_leaf=4, and max_features='sqrt'. These constraints prevent individual trees from memorizing single samples.</w:t>
              <w:br/>
              <w:t>2. K-Fold Cross-Validation: We evaluated the model using Stratified 3-Fold and 5-Fold cross-validation. The mean cross-validated F1-score remained at 99.98% with an extremely low standard deviation (0.000079), proving the model generalizes across different unseen folds.</w:t>
              <w:br/>
              <w:t>3. Strong Behavioral Separation: In physical RAM, active malware operations (such as unbacked executable pages from malfind or unlinked processes from psxview) exhibit massive mathematical divergence from legitimate Windows background processes, creating clear decision boundaries in feature space."</w:t>
            </w:r>
          </w:p>
        </w:tc>
      </w:tr>
    </w:tbl>
    <w:p>
      <w:pPr>
        <w:spacing w:after="80"/>
      </w:pPr>
    </w:p>
    <w:tbl>
      <w:tblPr>
        <w:tblW w:type="auto" w:w="0"/>
        <w:jc w:val="center"/>
        <w:tblLook w:firstColumn="1" w:firstRow="1" w:lastColumn="0" w:lastRow="0" w:noHBand="0" w:noVBand="1" w:val="04A0"/>
      </w:tblPr>
      <w:tblGrid>
        <w:gridCol w:w="9360"/>
      </w:tblGrid>
      <w:tr>
        <w:tc>
          <w:tcPr>
            <w:tcW w:type="dxa" w:w="9360"/>
            <w:shd w:fill="F2F4F8"/>
            <w:tcMar>
              <w:top w:w="120" w:type="dxa"/>
              <w:bottom w:w="120" w:type="dxa"/>
              <w:left w:w="180" w:type="dxa"/>
              <w:right w:w="180" w:type="dxa"/>
            </w:tcMar>
            <w:tcBorders>
              <w:left w:val="single" w:sz="24" w:space="0" w:color="1F3864"/>
              <w:top w:val="none"/>
              <w:right w:val="none"/>
              <w:bottom w:val="none"/>
            </w:tcBorders>
          </w:tcPr>
          <w:p>
            <w:pPr>
              <w:spacing w:before="40" w:after="80"/>
            </w:pPr>
            <w:r>
              <w:rPr>
                <w:rFonts w:ascii="Calibri" w:hAnsi="Calibri"/>
                <w:b/>
                <w:color w:val="1F3864"/>
                <w:sz w:val="22"/>
              </w:rPr>
              <w:t>📌 Q4: How does your system handle Zero-Day or novel malware attacks?</w:t>
              <w:br/>
            </w:r>
            <w:r>
              <w:rPr>
                <w:rFonts w:ascii="Calibri" w:hAnsi="Calibri"/>
                <w:i/>
                <w:color w:val="333333"/>
                <w:sz w:val="21"/>
              </w:rPr>
              <w:t>"Traditional antivirus software relies on signature databases; when an attacker modifies a single byte, the hash changes and static detection fails. Our system addresses zero-days on two levels:</w:t>
              <w:br/>
              <w:br/>
              <w:t>1. Behavioral Memory Artifacts: Even if a malware strain is completely new, its operational behavior in RAM cannot be concealed. To run code filelessly, it must allocate RWX memory (malfind.protection); to evade Task Manager, it must unlink its EPROCESS block (psxview.not_in_eprocess). The Random Forest detects these fundamental malicious patterns.</w:t>
              <w:br/>
              <w:t>2. Unsupervised Isolation Forest: In addition to the supervised classifier, we integrated an unsupervised Isolation Forest model trained on baseline distributions. If a novel memory dump deviates mathematically from known clusters, the system triggers a 'Zero-Day / Anomaly Alert' recommending immediate memory carving."</w:t>
            </w:r>
          </w:p>
        </w:tc>
      </w:tr>
    </w:tbl>
    <w:p>
      <w:pPr>
        <w:spacing w:after="80"/>
      </w:pPr>
    </w:p>
    <w:tbl>
      <w:tblPr>
        <w:tblW w:type="auto" w:w="0"/>
        <w:jc w:val="center"/>
        <w:tblLook w:firstColumn="1" w:firstRow="1" w:lastColumn="0" w:lastRow="0" w:noHBand="0" w:noVBand="1" w:val="04A0"/>
      </w:tblPr>
      <w:tblGrid>
        <w:gridCol w:w="9360"/>
      </w:tblGrid>
      <w:tr>
        <w:tc>
          <w:tcPr>
            <w:tcW w:type="dxa" w:w="9360"/>
            <w:shd w:fill="F2F4F8"/>
            <w:tcMar>
              <w:top w:w="120" w:type="dxa"/>
              <w:bottom w:w="120" w:type="dxa"/>
              <w:left w:w="180" w:type="dxa"/>
              <w:right w:w="180" w:type="dxa"/>
            </w:tcMar>
            <w:tcBorders>
              <w:left w:val="single" w:sz="24" w:space="0" w:color="1F3864"/>
              <w:top w:val="none"/>
              <w:right w:val="none"/>
              <w:bottom w:val="none"/>
            </w:tcBorders>
          </w:tcPr>
          <w:p>
            <w:pPr>
              <w:spacing w:before="40" w:after="80"/>
            </w:pPr>
            <w:r>
              <w:rPr>
                <w:rFonts w:ascii="Calibri" w:hAnsi="Calibri"/>
                <w:b/>
                <w:color w:val="1F3864"/>
                <w:sz w:val="22"/>
              </w:rPr>
              <w:t>📌 Q5: What is the purpose of the Chain-of-Custody feature in your system?</w:t>
              <w:br/>
            </w:r>
            <w:r>
              <w:rPr>
                <w:rFonts w:ascii="Calibri" w:hAnsi="Calibri"/>
                <w:i/>
                <w:color w:val="333333"/>
                <w:sz w:val="21"/>
              </w:rPr>
              <w:t>"In digital forensics and incident response, evidence must be legally defensible. If an investigator cannot prove that evidence was untampered with, the entire forensic report is inadmissible in court.</w:t>
              <w:br/>
              <w:br/>
              <w:t>To solve this, our system automatically computes a cryptographic SHA-256 hash combining the source filename, row index, and high-resolution timestamp for every triage execution. This unique Evidence Identifier is stamped onto the dashboard, embedded in the generated PDF dossier, and immutably recorded in logs/triage_audit.log, establishing an unbroken chain of custody."</w:t>
            </w:r>
          </w:p>
        </w:tc>
      </w:tr>
    </w:tbl>
    <w:p>
      <w:pPr>
        <w:spacing w:after="80"/>
      </w:pPr>
    </w:p>
    <w:tbl>
      <w:tblPr>
        <w:tblW w:type="auto" w:w="0"/>
        <w:jc w:val="center"/>
        <w:tblLook w:firstColumn="1" w:firstRow="1" w:lastColumn="0" w:lastRow="0" w:noHBand="0" w:noVBand="1" w:val="04A0"/>
      </w:tblPr>
      <w:tblGrid>
        <w:gridCol w:w="9360"/>
      </w:tblGrid>
      <w:tr>
        <w:tc>
          <w:tcPr>
            <w:tcW w:type="dxa" w:w="9360"/>
            <w:shd w:fill="F2F4F8"/>
            <w:tcMar>
              <w:top w:w="120" w:type="dxa"/>
              <w:bottom w:w="120" w:type="dxa"/>
              <w:left w:w="180" w:type="dxa"/>
              <w:right w:w="180" w:type="dxa"/>
            </w:tcMar>
            <w:tcBorders>
              <w:left w:val="single" w:sz="24" w:space="0" w:color="1F3864"/>
              <w:top w:val="none"/>
              <w:right w:val="none"/>
              <w:bottom w:val="none"/>
            </w:tcBorders>
          </w:tcPr>
          <w:p>
            <w:pPr>
              <w:spacing w:before="40" w:after="80"/>
            </w:pPr>
            <w:r>
              <w:rPr>
                <w:rFonts w:ascii="Calibri" w:hAnsi="Calibri"/>
                <w:b/>
                <w:color w:val="1F3864"/>
                <w:sz w:val="22"/>
              </w:rPr>
              <w:t>📌 Q6: What are the current limitations of the project and how can it be improved?</w:t>
              <w:br/>
            </w:r>
            <w:r>
              <w:rPr>
                <w:rFonts w:ascii="Calibri" w:hAnsi="Calibri"/>
                <w:i/>
                <w:color w:val="333333"/>
                <w:sz w:val="21"/>
              </w:rPr>
              <w:t>"Sir, there are three primary areas for future extension:</w:t>
              <w:br/>
              <w:br/>
              <w:t>1. End-to-End Raw RAM Ingestion: Currently, the dashboard ingests pre-extracted Volatility CSV telemetry. A logical next step is embedding the Volatility 3 Python API directly into the backend so analysts can drop a raw 16GB .raw or .dmp memory file and have features extracted automatically.</w:t>
              <w:br/>
              <w:t>2. Live Endpoint Agent: Packaging the triage engine as a lightweight endpoint detection agent that extracts memory metrics on live Windows hosts periodically.</w:t>
              <w:br/>
              <w:t>3. Adversarial Robustness Testing: Further evaluating how the model performs against sophisticated anti-forensic techniques designed to poison memory telemetry counters."</w:t>
            </w:r>
          </w:p>
        </w:tc>
      </w:tr>
    </w:tbl>
    <w:p>
      <w:pPr>
        <w:spacing w:after="80"/>
      </w:pPr>
    </w:p>
    <w:p>
      <w:pPr>
        <w:pStyle w:val="Heading1"/>
        <w:spacing w:before="280" w:after="120"/>
      </w:pPr>
      <w:r>
        <w:t>10. Step-by-Step Live Viva Demonstration Script</w:t>
      </w:r>
    </w:p>
    <w:p>
      <w:r>
        <w:t>Follow this exact sequence when demonstrating the live software to your professor or committee:</w:t>
      </w:r>
    </w:p>
    <w:p>
      <w:pPr>
        <w:spacing w:after="80"/>
        <w:ind w:left="288"/>
      </w:pPr>
      <w:r>
        <w:rPr>
          <w:b/>
          <w:color w:val="1F3864"/>
        </w:rPr>
        <w:t xml:space="preserve">• Step 1: Launch the System: </w:t>
      </w:r>
      <w:r>
        <w:t>Open your terminal in the project directory and execute: streamlit run app.py. The browser opens to the dark-themed cyber forensic dashboard.</w:t>
      </w:r>
    </w:p>
    <w:p>
      <w:pPr>
        <w:spacing w:after="80"/>
        <w:ind w:left="288"/>
      </w:pPr>
      <w:r>
        <w:rPr>
          <w:b/>
          <w:color w:val="1F3864"/>
        </w:rPr>
        <w:t xml:space="preserve">• Step 2: Demonstrate the Normal Baseline: </w:t>
      </w:r>
      <w:r>
        <w:t>Under Telemetry Ingestion Source, select 'Quick-Load Verified Sample' and choose clean_system_baseline.csv. Click 'Execute Autonomous Forensic Triage'. Show that the verdict is NORMAL (green, ~0% risk), and highlight how SHAP values push left towards the clean baseline.</w:t>
      </w:r>
    </w:p>
    <w:p>
      <w:pPr>
        <w:spacing w:after="80"/>
        <w:ind w:left="288"/>
      </w:pPr>
      <w:r>
        <w:rPr>
          <w:b/>
          <w:color w:val="1F3864"/>
        </w:rPr>
        <w:t xml:space="preserve">• Step 3: Demonstrate an Active Ransomware Threat: </w:t>
      </w:r>
      <w:r>
        <w:t>Switch the profile to fresh_aggressive_ransomware.csv and click Execute Triage. Show the immediate transition to HIGH RISK (red, &gt;80% risk). Point out the metric cards displaying Malware Confidence and zero-day anomaly indicators.</w:t>
      </w:r>
    </w:p>
    <w:p>
      <w:pPr>
        <w:spacing w:after="80"/>
        <w:ind w:left="288"/>
      </w:pPr>
      <w:r>
        <w:rPr>
          <w:b/>
          <w:color w:val="1F3864"/>
        </w:rPr>
        <w:t xml:space="preserve">• Step 4: Explain the XAI Decision Drivers (SHAP): </w:t>
      </w:r>
      <w:r>
        <w:t>Scroll to Section 04 and show the 3 Plain-English Decision Driver Cards. Explain to your professor: 'Sir, look at handles.avg_handles_per_proc—the AI elevated the malware risk by +45% because this process opened an astronomical number of resource handles, which is the exact behavioral hallmark of ransomware encrypting files.'</w:t>
      </w:r>
    </w:p>
    <w:p>
      <w:pPr>
        <w:spacing w:after="80"/>
        <w:ind w:left="288"/>
      </w:pPr>
      <w:r>
        <w:rPr>
          <w:b/>
          <w:color w:val="1F3864"/>
        </w:rPr>
        <w:t xml:space="preserve">• Step 5: Show Local Corroboration (LIME): </w:t>
      </w:r>
      <w:r>
        <w:t>Scroll to Section 05 and show the LIME table. Explain that LIME independently verified this decision using local threshold rules, confirming that the model's verdict is robust and unbiased.</w:t>
      </w:r>
    </w:p>
    <w:p>
      <w:pPr>
        <w:spacing w:after="80"/>
        <w:ind w:left="288"/>
      </w:pPr>
      <w:r>
        <w:rPr>
          <w:b/>
          <w:color w:val="1F3864"/>
        </w:rPr>
        <w:t xml:space="preserve">• Step 6: Download the Official PDF Report: </w:t>
      </w:r>
      <w:r>
        <w:t>Click 'Download Forensic Report (PDF)'. Open the PDF from the outputs/ folder. Show your professor the executive header, the SHA-256 evidence hash, the triage table, top explainability drivers, and the incident response playbook.</w:t>
      </w:r>
    </w:p>
    <w:p>
      <w:pPr>
        <w:spacing w:after="80"/>
        <w:ind w:left="288"/>
      </w:pPr>
      <w:r>
        <w:rPr>
          <w:b/>
          <w:color w:val="1F3864"/>
        </w:rPr>
        <w:t xml:space="preserve">• Step 7: Verify Chain of Custody: </w:t>
      </w:r>
      <w:r>
        <w:t>Scroll to the bottom of the dashboard and expand Section 07 (Live Chain-of-Custody Audit Log). Show that every single action performed during the demo was appended to logs/triage_audit.log with timestamps and cryptographic hashes.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2A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