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Memory Forensic Triage AI — Dissertation Chapters 1–3</w:t>
      </w:r>
    </w:p>
    <w:p>
      <w:pPr>
        <w:pStyle w:val="Heading2"/>
      </w:pPr>
      <w:r>
        <w:t xml:space="preserve">Chapter 1: Introduction</w:t>
      </w:r>
    </w:p>
    <w:p>
      <w:pPr>
        <w:pStyle w:val="Heading3"/>
      </w:pPr>
      <w:r>
        <w:t xml:space="preserve">1.1 Problem Context</w:t>
      </w:r>
    </w:p>
    <w:p>
      <w:pPr/>
      <w:r>
        <w:t xml:space="preserve">Modern malware increasingly lives in memory rather than on disk. Fileless loaders, process injection and obfuscated payloads leave little for disk-based antivirus to find, so investigators turn to RAM images instead. Analysing one image with Volatility means running a dozen plugins and reading thousands of lines of output, and a busy incident response team may hold many images at once. Triage, deciding which image to examine first, is the real bottleneck. Machine learning can score images in seconds, but two problems stop analysts relying on it. First, most published detectors return a label with no reason that an analyst can check or defend. Second, they ignore chain of custody: nothing proves that the dump, the extracted features or the report were left unaltered. During the project I found a third problem. Near-perfect benchmark scores can hide shortcut learning on artefacts of the dataset itself.</w:t>
      </w:r>
    </w:p>
    <w:p>
      <w:pPr>
        <w:pStyle w:val="Heading3"/>
      </w:pPr>
      <w:r>
        <w:t xml:space="preserve">1.2 Research Question</w:t>
      </w:r>
    </w:p>
    <w:p>
      <w:pPr/>
      <w:r>
        <w:t xml:space="preserve">To what extent can a Random Forest classifier, explained with SHAP and LIME and wrapped in a hash-verified chain of custody, triage Windows memory images as benign or malicious accurately and transparently, without altering the evidence it analyses?</w:t>
      </w:r>
    </w:p>
    <w:p>
      <w:pPr>
        <w:pStyle w:val="Heading3"/>
      </w:pPr>
      <w:r>
        <w:t xml:space="preserve">1.3 Aims and Objectives</w:t>
      </w:r>
    </w:p>
    <w:p>
      <w:pPr/>
      <w:r>
        <w:rPr>
          <w:b/>
        </w:rPr>
        <w:t xml:space="preserve">Aim:</w:t>
      </w:r>
      <w:r>
        <w:t xml:space="preserve"> to design, build and evaluate an explainable, integrity-preserving AI tool that helps analysts triage Windows memory images.</w:t>
      </w:r>
    </w:p>
    <w:p>
      <w:pPr/>
      <w:r>
        <w:rPr>
          <w:b/>
        </w:rPr>
        <w:t xml:space="preserve">Objectives:</w:t>
      </w:r>
    </w:p>
    <w:p>
      <w:pPr>
        <w:pStyle w:val="ListParagraph"/>
        <w:numPr>
          <w:ilvl w:val="0"/>
          <w:numId w:val="2"/>
        </w:numPr>
      </w:pPr>
      <w:r>
        <w:t xml:space="preserve">Train a binary classifier on CIC-MalMem2022 that reaches an F1-score of at least 0.95 on a held-out 20% test set, and compare it with a Logistic Regression baseline (Chapter 5).</w:t>
      </w:r>
    </w:p>
    <w:p>
      <w:pPr>
        <w:pStyle w:val="ListParagraph"/>
        <w:numPr>
          <w:ilvl w:val="0"/>
          <w:numId w:val="2"/>
        </w:numPr>
      </w:pPr>
      <w:r>
        <w:t xml:space="preserve">Generate SHAP and LIME explanations for every verdict and show them in the dashboard and PDF report (Chapter 4).</w:t>
      </w:r>
    </w:p>
    <w:p>
      <w:pPr>
        <w:pStyle w:val="ListParagraph"/>
        <w:numPr>
          <w:ilvl w:val="0"/>
          <w:numId w:val="2"/>
        </w:numPr>
      </w:pPr>
      <w:r>
        <w:t xml:space="preserve">Convert raw Windows memory dumps into the 55 model features automatically with Volatility 3 (Chapter 4).</w:t>
      </w:r>
    </w:p>
    <w:p>
      <w:pPr>
        <w:pStyle w:val="ListParagraph"/>
        <w:numPr>
          <w:ilvl w:val="0"/>
          <w:numId w:val="2"/>
        </w:numPr>
      </w:pPr>
      <w:r>
        <w:t xml:space="preserve">Show that evidence hashes stay identical across all nine processing stages, and that one altered byte blocks analysis (Chapter 5).</w:t>
      </w:r>
    </w:p>
    <w:p>
      <w:pPr>
        <w:pStyle w:val="Heading3"/>
      </w:pPr>
      <w:r>
        <w:t xml:space="preserve">1.4 Scope and Structure of the Dissertation</w:t>
      </w:r>
    </w:p>
    <w:p>
      <w:pPr/>
      <w:r>
        <w:t xml:space="preserve">The delivered project is a working prototype: a Streamlit dashboard with case sessions, evidence intake (feature CSVs or raw dumps), Volatility 3 feature extraction, Random Forest classification with an Isolation Forest anomaly check, SHAP and LIME explanations, a hash-chained custody ledger and sealed PDF reports. It handles Windows memory images only. It does not acquire memory, does not execute live malware and does not claim legal admissibility. The custody ledger is tamper-evident but not digitally signed. A multi-class family model was trained but is not part of the dashboard, and there is no user authentication, so the tool is meant for a single analyst workstation.</w:t>
      </w:r>
    </w:p>
    <w:p>
      <w:pPr/>
      <w:r>
        <w:t xml:space="preserve">Chapter 2 reviews research on memory-based malware detection, explainable AI and digital evidence integrity. Chapter 3 sets out the methodology, the design as built and the evaluation protocol. Chapter 4 describes the implementation. Chapter 5 presents the results. Chapter 6 discusses them against the research gap, including the shortcut-learning finding. Chapter 7 concludes and proposes future work.</w:t>
      </w:r>
    </w:p>
    <w:p>
      <w:pPr>
        <w:pStyle w:val="Heading2"/>
      </w:pPr>
      <w:r>
        <w:t xml:space="preserve">Chapter 2: Literature Review</w:t>
      </w:r>
    </w:p>
    <w:p>
      <w:pPr>
        <w:pStyle w:val="Heading3"/>
      </w:pPr>
      <w:r>
        <w:t xml:space="preserve">2.1 State of the Art</w:t>
      </w:r>
    </w:p>
    <w:p>
      <w:pPr/>
      <w:r>
        <w:rPr>
          <w:b/>
        </w:rPr>
        <w:t xml:space="preserve">Memory-based malware detection.</w:t>
      </w:r>
      <w:r>
        <w:t xml:space="preserve"> Memory forensics rests on the Volatility framework, which recovers processes, DLLs, handles and injected code from a RAM image (Volatility Foundation, n.d.). Carrier et al. (2022) turned Volatility output into 55 features and released CIC-MalMem2022: 58,596 balanced records covering spyware, ransomware and trojans hidden with obfuscation. Their stacked ensemble reached about 99% accuracy. Later studies on the same data report similar figures with Random Forest, gradient boosting and deep networks (Dener, Ok and Orman, 2022), and with lightweight models built for IoT devices (Shafin, Karmakar and Mareels, 2023). To catch threats unlike anything in training, several systems add an unsupervised detector such as Isolation Forest, which isolates outliers with random splits (Liu, Ting and Zhou, 2008).</w:t>
      </w:r>
    </w:p>
    <w:p>
      <w:pPr/>
      <w:r>
        <w:rPr>
          <w:b/>
        </w:rPr>
        <w:t xml:space="preserve">Explainable AI in security.</w:t>
      </w:r>
      <w:r>
        <w:t xml:space="preserve"> SHAP attributes a prediction to its features using Shapley values (Lundberg and Lee, 2017), and TreeExplainer computes those values exactly for tree ensembles (Lundberg et al., 2020). LIME instead fits a simple surrogate model around one instance (Ribeiro, Singh and Guestrin, 2016). Surveys find that these two methods dominate explainable security research (Capuano et al., 2022; Nadeem et al., 2023). Warnecke et al. (2020) show that explanation methods often disagree, so one should be checked against another. Where SHAP has been applied to memory malware models, it is usually shown as a global summary plot of feature importance, not as a reason attached to each verdict.</w:t>
      </w:r>
    </w:p>
    <w:p>
      <w:pPr/>
      <w:r>
        <w:rPr>
          <w:b/>
        </w:rPr>
        <w:t xml:space="preserve">AI and digital evidence.</w:t>
      </w:r>
      <w:r>
        <w:t xml:space="preserve"> Hall, Sakzad and Choo (2022) argue that AI used in forensics must explain its outputs if those outputs are to meet evidential standards. Hash verification and documented custody remain the basic integrity controls for digital evidence (ISO/IEC 27037:2012). Arp et al. (2022) add a warning that security machine learning often suffers from sampling bias and spurious correlations that inflate reported results.</w:t>
      </w:r>
    </w:p>
    <w:p>
      <w:pPr>
        <w:pStyle w:val="Heading3"/>
      </w:pPr>
      <w:r>
        <w:t xml:space="preserve">2.2 Critical Evaluation</w:t>
      </w:r>
    </w:p>
    <w:p>
      <w:pPr/>
      <w:r>
        <w:t xml:space="preserve">Accuracy on CIC-MalMem2022 is no longer a useful way to compare approaches. Most papers report between 99% and 100%, and the differences between them fall within normal run-to-run noise. The bigger issue is how those numbers are produced. The dataset holds roughly ten snapshots per malware sample plus duplicate rows, and almost every study uses a random split, so near-identical records land in both training and test sets. Arp et al. (2022) call this data snooping. The benign class also comes from a narrow set of machine configurations, so a model can separate the classes on counts of services or drivers rather than on malicious behaviour. None of the reviewed detection papers test on memory images from other machines, so their real-world performance is unknown.</w:t>
      </w:r>
    </w:p>
    <w:p>
      <w:pPr/>
      <w:r>
        <w:t xml:space="preserve">Scalability is mixed and rarely measured. Inference on 55 numbers is fast, but producing them means running Volatility plugins over images of several gigabytes, a cost most papers skip by starting from the CSV.</w:t>
      </w:r>
    </w:p>
    <w:p>
      <w:pPr/>
      <w:r>
        <w:t xml:space="preserve">Explanation research has its own limits. SHAP and LIME explain the model, not the ground truth, so a biased model produces convincing but misleading explanations. LIME results also vary between runs because of random sampling, and few security papers compare the two methods on the same verdict.</w:t>
      </w:r>
    </w:p>
    <w:p>
      <w:pPr/>
      <w:r>
        <w:t xml:space="preserve">Finally, none of the detection studies treat their data as evidence. They do not hash inputs, record who ran the analysis or show that the tool left the image unchanged. That is a serious security weakness if their outputs are ever used in a real investigation.</w:t>
      </w:r>
    </w:p>
    <w:p>
      <w:pPr>
        <w:pStyle w:val="Heading3"/>
      </w:pPr>
      <w:r>
        <w:t xml:space="preserve">2.3 Identified Gap</w:t>
      </w:r>
    </w:p>
    <w:p>
      <w:pPr/>
      <w:r>
        <w:t xml:space="preserve">My proposal identified the gap as the lack of a memory triage tool that combines accurate machine learning detection with explanations an analyst can defend. The updated review confirms this gap and widens it. Recent work still treats detection and explanation separately, and no reviewed study links a verdict to a verifiable chain of custody from raw dump to final report. The review also exposed a gap in honest evaluation, because high scores are published without checks for leakage or shortcut features.</w:t>
      </w:r>
    </w:p>
    <w:p>
      <w:pPr/>
      <w:r>
        <w:t xml:space="preserve">The delivered project addresses the gap in three ways. It accepts raw dumps, not only pre-extracted CSVs. It explains every verdict with two independent methods. It hashes evidence at every stage in a hash-chained ledger and blocks analysis if anything changes. It also reports its own shortcut-learning problem openly rather than hiding it behind accuracy. Chapter 6 returns to this gap and judges how far the project closes it.</w:t>
      </w:r>
    </w:p>
    <w:p>
      <w:pPr>
        <w:pStyle w:val="Heading2"/>
      </w:pPr>
      <w:r>
        <w:t xml:space="preserve">Chapter 3: Methodology and Design</w:t>
      </w:r>
    </w:p>
    <w:p>
      <w:pPr>
        <w:pStyle w:val="Heading3"/>
      </w:pPr>
      <w:r>
        <w:t xml:space="preserve">3.1 Research Approach</w:t>
      </w:r>
    </w:p>
    <w:p>
      <w:pPr/>
      <w:r>
        <w:t xml:space="preserve">I followed design science research (Peffers et al., 2007), because the main output of this project is an artefact built to solve a practical problem. The problem and objectives came from the proposal and the literature review (Chapters 1 and 2). The design and build stage produced the triage tool in short iterations, each adding one component: the classifier, then SHAP, LIME, the PDF report, dump extraction and finally the custody controls. Evaluation was experimental. The classifier was tested against a baseline on held-out data, and the custody controls were tested by deliberately altering evidence. Reporting is this dissertation, where the results feed back into limitations and future work.</w:t>
      </w:r>
    </w:p>
    <w:p>
      <w:pPr>
        <w:pStyle w:val="Heading3"/>
      </w:pPr>
      <w:r>
        <w:t xml:space="preserve">3.2 Detailed Design</w:t>
      </w:r>
    </w:p>
    <w:p>
      <w:pPr/>
      <w:r>
        <w:t xml:space="preserve">Figure 3.1 shows the seven components and the data flow between them. All are Python 3.11 modules running inside one Streamlit process.</w:t>
      </w:r>
    </w:p>
    <w:p>
      <w:pPr>
        <w:pStyle w:val="ListParagraph"/>
        <w:numPr>
          <w:ilvl w:val="0"/>
          <w:numId w:val="3"/>
        </w:numPr>
      </w:pPr>
      <w:r>
        <w:rPr>
          <w:b/>
        </w:rPr>
        <w:t xml:space="preserve">Case session manager</w:t>
      </w:r>
      <w:r>
        <w:t xml:space="preserve"> (app.py). Requires a case number and analyst name before anything else unlocks. Records open and close times in local time and UTC, and writes case.json to outputs/cases/&lt;case&gt;/.</w:t>
      </w:r>
    </w:p>
    <w:p>
      <w:pPr>
        <w:pStyle w:val="ListParagraph"/>
        <w:numPr>
          <w:ilvl w:val="0"/>
          <w:numId w:val="3"/>
        </w:numPr>
      </w:pPr>
      <w:r>
        <w:rPr>
          <w:b/>
        </w:rPr>
        <w:t xml:space="preserve">Evidence intake.</w:t>
      </w:r>
      <w:r>
        <w:t xml:space="preserve"> Accepts a sample profile, a feature CSV or a raw dump (.raw, .mem, .vmem, .dmp), by upload (8 GB limit, set in .streamlit/config.toml) or by file path. Uploads are saved as read-only working copies with an evidence ID.</w:t>
      </w:r>
    </w:p>
    <w:p>
      <w:pPr>
        <w:pStyle w:val="ListParagraph"/>
        <w:numPr>
          <w:ilvl w:val="0"/>
          <w:numId w:val="3"/>
        </w:numPr>
      </w:pPr>
      <w:r>
        <w:rPr>
          <w:b/>
        </w:rPr>
        <w:t xml:space="preserve">Integrity module</w:t>
      </w:r>
      <w:r>
        <w:t xml:space="preserve"> (evidence_integrity.py). Computes SHA-256 and MD5 and appends every event to a custody ledger, where each entry stores the hash of the previous one. Verification runs at nine stages; any mismatch blocks the next step and is logged.</w:t>
      </w:r>
    </w:p>
    <w:p>
      <w:pPr>
        <w:pStyle w:val="ListParagraph"/>
        <w:numPr>
          <w:ilvl w:val="0"/>
          <w:numId w:val="3"/>
        </w:numPr>
      </w:pPr>
      <w:r>
        <w:rPr>
          <w:b/>
        </w:rPr>
        <w:t xml:space="preserve">Feature extractor</w:t>
      </w:r>
      <w:r>
        <w:t xml:space="preserve"> (memdump_extractor.py). Runs windows.info and nine Volatility 3 plugins (pslist, dlllist, handles, ldrmodules, malfind, psxview, modules, svcscan, callbacks) and maps their output onto the 55 CIC-MalMem2022 features. It also runs as a command-line tool.</w:t>
      </w:r>
    </w:p>
    <w:p>
      <w:pPr>
        <w:pStyle w:val="ListParagraph"/>
        <w:numPr>
          <w:ilvl w:val="0"/>
          <w:numId w:val="3"/>
        </w:numPr>
      </w:pPr>
      <w:r>
        <w:rPr>
          <w:b/>
        </w:rPr>
        <w:t xml:space="preserve">Triage engine.</w:t>
      </w:r>
      <w:r>
        <w:t xml:space="preserve"> Aligns the columns, then scores each row with a Random Forest (150 trees, max_depth 12, min_samples_leaf 4) and an Isolation Forest (100 trees, contamination 0.05). The probability sets the tier: Normal below 0.40, Suspicious from 0.40 to 0.75, High Risk at 0.75 or above.</w:t>
      </w:r>
    </w:p>
    <w:p>
      <w:pPr>
        <w:pStyle w:val="ListParagraph"/>
        <w:numPr>
          <w:ilvl w:val="0"/>
          <w:numId w:val="3"/>
        </w:numPr>
      </w:pPr>
      <w:r>
        <w:rPr>
          <w:b/>
        </w:rPr>
        <w:t xml:space="preserve">Explainer.</w:t>
      </w:r>
      <w:r>
        <w:t xml:space="preserve"> SHAP TreeExplainer returns the ten strongest feature contributions. LIME returns eight local rules from 1,000 perturbations over a 500-row background sample. A dictionary translates each feature name into plain English.</w:t>
      </w:r>
    </w:p>
    <w:p>
      <w:pPr>
        <w:pStyle w:val="ListParagraph"/>
        <w:numPr>
          <w:ilvl w:val="0"/>
          <w:numId w:val="3"/>
        </w:numPr>
      </w:pPr>
      <w:r>
        <w:rPr>
          <w:b/>
        </w:rPr>
        <w:t xml:space="preserve">Report generator.</w:t>
      </w:r>
      <w:r>
        <w:t xml:space="preserve"> ReportLab builds a PDF with the verdict, hashes and both explanations, then hashes the PDF and writes a .sha256 sidecar.</w:t>
      </w:r>
    </w:p>
    <w:p>
      <w:pPr/>
      <w:r>
        <w:t xml:space="preserve">Data flows one way: intake, hashing, extraction for dumps, then triage on one verified feature vector, explanation and report. Every step writes to the ledger.</w:t>
      </w:r>
    </w:p>
    <w:p>
      <w:pPr/>
      <w:r>
        <w:drawing>
          <wp:inline distT="0" distB="0" distL="0" distR="0">
            <wp:extent cx="5486400" cy="2677885"/>
            <wp:docPr id="1" name="image1" descr="Figure 3.1 · Component-level architecture of the triage tool"/>
            <a:graphic xmlns:a="http://schemas.openxmlformats.org/drawingml/2006/main">
              <a:graphicData uri="http://schemas.openxmlformats.org/drawingml/2006/picture">
                <pic:pic xmlns:pic="http://schemas.openxmlformats.org/drawingml/2006/picture">
                  <pic:nvPicPr>
                    <pic:cNvPr id="1" name="image1" descr="Figure 3.1 · Component-level architecture of the triage tool"/>
                    <pic:cNvPicPr/>
                  </pic:nvPicPr>
                  <pic:blipFill>
                    <a:blip r:embed="rId3"/>
                    <a:stretch>
                      <a:fillRect/>
                    </a:stretch>
                  </pic:blipFill>
                  <pic:spPr>
                    <a:xfrm>
                      <a:off x="0" y="0"/>
                      <a:ext cx="5486400" cy="2677885"/>
                    </a:xfrm>
                    <a:prstGeom prst="rect">
                      <a:avLst/>
                    </a:prstGeom>
                  </pic:spPr>
                </pic:pic>
              </a:graphicData>
            </a:graphic>
          </wp:inline>
        </w:drawing>
      </w:r>
    </w:p>
    <w:p>
      <w:pPr/>
      <w:r>
        <w:t xml:space="preserve">Figure 3.1 · Component-level architecture of the triage tool</w:t>
      </w:r>
    </w:p>
    <w:p>
      <w:pPr>
        <w:pStyle w:val="Heading3"/>
      </w:pPr>
      <w:r>
        <w:t xml:space="preserve">3.3 Testbed Specification</w:t>
      </w:r>
    </w:p>
    <w:p>
      <w:pPr/>
      <w:r>
        <w:t xml:space="preserve">The testbed was one standalone Windows 11 workstation running Python 3.11 in a virtual environment, with scikit-learn, SHAP, LIME, Streamlit, ReportLab and Volatility 3 installed from requirements.txt. The dashboard was started with --server.address localhost on port 8501, so no other host could reach it. Each run started from a fresh case folder, so earlier outputs could not affect later ones. No live malware was executed at any point. Malicious behaviour came only from CIC-MalMem2022 feature records and the synthetic profiles described in Section 3.5. Real memory images were captured only from my own machine. The only external connection was Volatility's one-time download of Windows symbol tables, made before any evidence was loaded; during test runs the workstation was disconnected from the network.</w:t>
      </w:r>
    </w:p>
    <w:p>
      <w:pPr/>
      <w:r>
        <w:t xml:space="preserve">The authorisation boundary is that single workstation and the data I own or am licensed to use. No third-party system, network or personal device was imaged, scanned or tested.</w:t>
      </w:r>
    </w:p>
    <w:p>
      <w:pPr>
        <w:pStyle w:val="Heading3"/>
      </w:pPr>
      <w:r>
        <w:t xml:space="preserve">3.4 Evaluation Protocol</w:t>
      </w:r>
    </w:p>
    <w:p>
      <w:pPr/>
      <w:r>
        <w:rPr>
          <w:b/>
        </w:rPr>
        <w:t xml:space="preserve">Detection.</w:t>
      </w:r>
      <w:r>
        <w:t xml:space="preserve"> Accuracy, precision, recall, F1-score and ROC-AUC were measured on a stratified 80/20 split (random_state 42). The training portion was also scored with 3-fold stratified cross-validation, and benchmark.py ran a 5-fold comparison that added gradient boosting. The research question is answered positively if the Random Forest reaches F1 ≥ 0.95 and ROC-AUC ≥ 0.95 and is no worse than the Logistic Regression baseline.</w:t>
      </w:r>
    </w:p>
    <w:p>
      <w:pPr/>
      <w:r>
        <w:rPr>
          <w:b/>
        </w:rPr>
        <w:t xml:space="preserve">Explanation.</w:t>
      </w:r>
      <w:r>
        <w:t xml:space="preserve"> SHAP and LIME output must exist for 100% of analysed snapshots, with every top feature named in plain English.</w:t>
      </w:r>
    </w:p>
    <w:p>
      <w:pPr/>
      <w:r>
        <w:rPr>
          <w:b/>
        </w:rPr>
        <w:t xml:space="preserve">Integrity.</w:t>
      </w:r>
      <w:r>
        <w:t xml:space="preserve"> All nine hash checks must pass on unaltered evidence, and 100% of tampered inputs must be detected and blocked. For each of the seven test profiles in data/test_samples, I changed one byte in the evidence file, the derived CSV and the feature vector in turn, and confirmed each hash independently with certutil.</w:t>
      </w:r>
    </w:p>
    <w:p>
      <w:pPr/>
      <w:r>
        <w:rPr>
          <w:b/>
        </w:rPr>
        <w:t xml:space="preserve">Runs.</w:t>
      </w:r>
      <w:r>
        <w:t xml:space="preserve"> Headline figures come from one fixed split, supported by three cross-validation folds and five benchmark folds. The tamper test gave 21 runs: seven profiles by three targets.</w:t>
      </w:r>
    </w:p>
    <w:p>
      <w:pPr/>
      <w:r>
        <w:rPr>
          <w:b/>
        </w:rPr>
        <w:t xml:space="preserve">Fair conditions.</w:t>
      </w:r>
      <w:r>
        <w:t xml:space="preserve"> The baseline and the Random Forest used the same split, seed, 55 features and hardware. Logistic Regression alone received a StandardScaler, because it is sensitive to feature scale and tree models are not.</w:t>
      </w:r>
    </w:p>
    <w:p>
      <w:pPr>
        <w:pStyle w:val="Heading3"/>
      </w:pPr>
      <w:r>
        <w:t xml:space="preserve">3.5 Data Plan</w:t>
      </w:r>
    </w:p>
    <w:p>
      <w:pPr/>
      <w:r>
        <w:t xml:space="preserve">The main data is CIC-MalMem2022 (58,596 records), a public academic dataset stored locally in data/ and not committed to Git because of its size. It holds counts of operating-system artefacts, not personal data. Synthetic test data was generated by scripts (generate_synthetic_threats.py, simulate_zeroday.py), which alter real feature values to imitate a rootkit, ransomware, a fileless miner, Cobalt Strike beaconing and a zero-day. These profiles are labelled synthetic throughout. Memory dumps can expose passwords and documents, so only images of my own machine were used. They stay on an encrypted local disk and will be destroyed, with case folders and logs, after final marks are confirmed.</w:t>
      </w:r>
    </w:p>
    <w:p>
      <w:pPr>
        <w:pStyle w:val="Heading3"/>
      </w:pPr>
      <w:r>
        <w:t xml:space="preserve">3.6 Departures from the Proposal</w:t>
      </w:r>
    </w:p>
    <w:p>
      <w:pPr/>
      <w:r>
        <w:t xml:space="preserve">Four parts of the design changed during the build. Each change came from testing or from a limitation that only became clear once the earlier version was working. The core method, a Random Forest trained on CIC-MalMem2022, did not change, and neither did the evaluation metrics.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Design Element</w:t>
            </w:r>
          </w:p>
        </w:tc>
        <w:tc>
          <w:tcPr>
            <w:tcW w:w="2340" w:type="dxa"/>
            <w:shd w:val="clear" w:color="auto" w:fill="F2F2F2"/>
          </w:tcPr>
          <w:p>
            <w:pPr/>
            <w:r>
              <w:t xml:space="preserve">As Proposed</w:t>
            </w:r>
          </w:p>
        </w:tc>
        <w:tc>
          <w:tcPr>
            <w:tcW w:w="2340" w:type="dxa"/>
            <w:shd w:val="clear" w:color="auto" w:fill="F2F2F2"/>
          </w:tcPr>
          <w:p>
            <w:pPr/>
            <w:r>
              <w:t xml:space="preserve">As Built</w:t>
            </w:r>
          </w:p>
        </w:tc>
        <w:tc>
          <w:tcPr>
            <w:tcW w:w="2340" w:type="dxa"/>
            <w:shd w:val="clear" w:color="auto" w:fill="F2F2F2"/>
          </w:tcPr>
          <w:p>
            <w:pPr/>
            <w:r>
              <w:t xml:space="preserve">Reason for Departure</w:t>
            </w:r>
          </w:p>
        </w:tc>
      </w:tr>
      <w:tr>
        <w:tc>
          <w:tcPr>
            <w:tcW w:w="2340" w:type="dxa"/>
          </w:tcPr>
          <w:p>
            <w:pPr/>
            <w:r>
              <w:t xml:space="preserve">Evidence input</w:t>
            </w:r>
          </w:p>
        </w:tc>
        <w:tc>
          <w:tcPr>
            <w:tcW w:w="2340" w:type="dxa"/>
          </w:tcPr>
          <w:p>
            <w:pPr/>
            <w:r>
              <w:t xml:space="preserve">Pre-extracted Volatility feature CSVs only</w:t>
            </w:r>
          </w:p>
        </w:tc>
        <w:tc>
          <w:tcPr>
            <w:tcW w:w="2340" w:type="dxa"/>
          </w:tcPr>
          <w:p>
            <w:pPr/>
            <w:r>
              <w:t xml:space="preserve">CSVs plus raw memory dumps, converted by nine Volatility 3 plugins</w:t>
            </w:r>
          </w:p>
        </w:tc>
        <w:tc>
          <w:tcPr>
            <w:tcW w:w="2340" w:type="dxa"/>
          </w:tcPr>
          <w:p>
            <w:pPr/>
            <w:r>
              <w:t xml:space="preserve">Analysts hold dumps, not CSVs; a CSV-only tool skipped the costliest triage step</w:t>
            </w:r>
          </w:p>
        </w:tc>
      </w:tr>
      <w:tr>
        <w:tc>
          <w:tcPr>
            <w:tcW w:w="2340" w:type="dxa"/>
          </w:tcPr>
          <w:p>
            <w:pPr/>
            <w:r>
              <w:t xml:space="preserve">Explainability</w:t>
            </w:r>
          </w:p>
        </w:tc>
        <w:tc>
          <w:tcPr>
            <w:tcW w:w="2340" w:type="dxa"/>
          </w:tcPr>
          <w:p>
            <w:pPr/>
            <w:r>
              <w:t xml:space="preserve">SHAP only</w:t>
            </w:r>
          </w:p>
        </w:tc>
        <w:tc>
          <w:tcPr>
            <w:tcW w:w="2340" w:type="dxa"/>
          </w:tcPr>
          <w:p>
            <w:pPr/>
            <w:r>
              <w:t xml:space="preserve">SHAP and LIME side by side</w:t>
            </w:r>
          </w:p>
        </w:tc>
        <w:tc>
          <w:tcPr>
            <w:tcW w:w="2340" w:type="dxa"/>
          </w:tcPr>
          <w:p>
            <w:pPr/>
            <w:r>
              <w:t xml:space="preserve">Literature shows explainers can disagree; a second method lets the analyst check the first</w:t>
            </w:r>
          </w:p>
        </w:tc>
      </w:tr>
      <w:tr>
        <w:tc>
          <w:tcPr>
            <w:tcW w:w="2340" w:type="dxa"/>
          </w:tcPr>
          <w:p>
            <w:pPr/>
            <w:r>
              <w:t xml:space="preserve">Integrity and custody</w:t>
            </w:r>
          </w:p>
        </w:tc>
        <w:tc>
          <w:tcPr>
            <w:tcW w:w="2340" w:type="dxa"/>
          </w:tcPr>
          <w:p>
            <w:pPr/>
            <w:r>
              <w:t xml:space="preserve">One hash per triage run in an audit log</w:t>
            </w:r>
          </w:p>
        </w:tc>
        <w:tc>
          <w:tcPr>
            <w:tcW w:w="2340" w:type="dxa"/>
          </w:tcPr>
          <w:p>
            <w:pPr/>
            <w:r>
              <w:t xml:space="preserve">SHA-256 and MD5 at nine stages, hash-chained ledger and mandatory case sessions</w:t>
            </w:r>
          </w:p>
        </w:tc>
        <w:tc>
          <w:tcPr>
            <w:tcW w:w="2340" w:type="dxa"/>
          </w:tcPr>
          <w:p>
            <w:pPr/>
            <w:r>
              <w:t xml:space="preserve">One hash could not prove the dump, CSV and report were unchanged</w:t>
            </w:r>
          </w:p>
        </w:tc>
      </w:tr>
      <w:tr>
        <w:tc>
          <w:tcPr>
            <w:tcW w:w="2340" w:type="dxa"/>
          </w:tcPr>
          <w:p>
            <w:pPr/>
            <w:r>
              <w:t xml:space="preserve">Classification output</w:t>
            </w:r>
          </w:p>
        </w:tc>
        <w:tc>
          <w:tcPr>
            <w:tcW w:w="2340" w:type="dxa"/>
          </w:tcPr>
          <w:p>
            <w:pPr/>
            <w:r>
              <w:t xml:space="preserve">Malware family identification</w:t>
            </w:r>
          </w:p>
        </w:tc>
        <w:tc>
          <w:tcPr>
            <w:tcW w:w="2340" w:type="dxa"/>
          </w:tcPr>
          <w:p>
            <w:pPr/>
            <w:r>
              <w:t xml:space="preserve">Binary verdict with Isolation Forest anomaly check; family model trained but not deployed</w:t>
            </w:r>
          </w:p>
        </w:tc>
        <w:tc>
          <w:tcPr>
            <w:tcW w:w="2340" w:type="dxa"/>
          </w:tcPr>
          <w:p>
            <w:pPr/>
            <w:r>
              <w:t xml:space="preserve">Triage needs a fast priority decision; the family model was not validated on real dumps</w:t>
            </w:r>
          </w:p>
        </w:tc>
      </w:tr>
    </w:tbl>
    <w:p>
      <w:pPr>
        <w:pStyle w:val="Heading2"/>
      </w:pPr>
      <w:r>
        <w:t xml:space="preserve">Word Count</w:t>
      </w:r>
    </w:p>
    <w:p>
      <w:pPr/>
      <w:r>
        <w:t xml:space="preserve">The three chapters total 2,057 words against a target of 2,050. Counts exclude headings, the departures table (132 words) and the reference list.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Section</w:t>
            </w:r>
          </w:p>
        </w:tc>
        <w:tc>
          <w:tcPr>
            <w:tcW w:w="3120" w:type="dxa"/>
            <w:shd w:val="clear" w:color="auto" w:fill="F2F2F2"/>
          </w:tcPr>
          <w:p>
            <w:pPr/>
            <w:r>
              <w:t xml:space="preserve">Target</w:t>
            </w:r>
          </w:p>
        </w:tc>
        <w:tc>
          <w:tcPr>
            <w:tcW w:w="3120" w:type="dxa"/>
            <w:shd w:val="clear" w:color="auto" w:fill="F2F2F2"/>
          </w:tcPr>
          <w:p>
            <w:pPr/>
            <w:r>
              <w:t xml:space="preserve">Actual</w:t>
            </w:r>
          </w:p>
        </w:tc>
      </w:tr>
      <w:tr>
        <w:tc>
          <w:tcPr>
            <w:tcW w:w="3120" w:type="dxa"/>
          </w:tcPr>
          <w:p>
            <w:pPr/>
            <w:r>
              <w:t xml:space="preserve">1.1 Problem Context</w:t>
            </w:r>
          </w:p>
        </w:tc>
        <w:tc>
          <w:tcPr>
            <w:tcW w:w="3120" w:type="dxa"/>
          </w:tcPr>
          <w:p>
            <w:pPr/>
            <w:r>
              <w:t xml:space="preserve">150</w:t>
            </w:r>
          </w:p>
        </w:tc>
        <w:tc>
          <w:tcPr>
            <w:tcW w:w="3120" w:type="dxa"/>
          </w:tcPr>
          <w:p>
            <w:pPr/>
            <w:r>
              <w:t xml:space="preserve">144</w:t>
            </w:r>
          </w:p>
        </w:tc>
      </w:tr>
      <w:tr>
        <w:tc>
          <w:tcPr>
            <w:tcW w:w="3120" w:type="dxa"/>
          </w:tcPr>
          <w:p>
            <w:pPr/>
            <w:r>
              <w:t xml:space="preserve">1.2 Research Question</w:t>
            </w:r>
          </w:p>
        </w:tc>
        <w:tc>
          <w:tcPr>
            <w:tcW w:w="3120" w:type="dxa"/>
          </w:tcPr>
          <w:p>
            <w:pPr/>
            <w:r>
              <w:t xml:space="preserve">40</w:t>
            </w:r>
          </w:p>
        </w:tc>
        <w:tc>
          <w:tcPr>
            <w:tcW w:w="3120" w:type="dxa"/>
          </w:tcPr>
          <w:p>
            <w:pPr/>
            <w:r>
              <w:t xml:space="preserve">38</w:t>
            </w:r>
          </w:p>
        </w:tc>
      </w:tr>
      <w:tr>
        <w:tc>
          <w:tcPr>
            <w:tcW w:w="3120" w:type="dxa"/>
          </w:tcPr>
          <w:p>
            <w:pPr/>
            <w:r>
              <w:t xml:space="preserve">1.3 Aims and Objectives</w:t>
            </w:r>
          </w:p>
        </w:tc>
        <w:tc>
          <w:tcPr>
            <w:tcW w:w="3120" w:type="dxa"/>
          </w:tcPr>
          <w:p>
            <w:pPr/>
            <w:r>
              <w:t xml:space="preserve">100</w:t>
            </w:r>
          </w:p>
        </w:tc>
        <w:tc>
          <w:tcPr>
            <w:tcW w:w="3120" w:type="dxa"/>
          </w:tcPr>
          <w:p>
            <w:pPr/>
            <w:r>
              <w:t xml:space="preserve">108</w:t>
            </w:r>
          </w:p>
        </w:tc>
      </w:tr>
      <w:tr>
        <w:tc>
          <w:tcPr>
            <w:tcW w:w="3120" w:type="dxa"/>
          </w:tcPr>
          <w:p>
            <w:pPr/>
            <w:r>
              <w:t xml:space="preserve">1.4 Scope and Structure</w:t>
            </w:r>
          </w:p>
        </w:tc>
        <w:tc>
          <w:tcPr>
            <w:tcW w:w="3120" w:type="dxa"/>
          </w:tcPr>
          <w:p>
            <w:pPr/>
            <w:r>
              <w:t xml:space="preserve">160</w:t>
            </w:r>
          </w:p>
        </w:tc>
        <w:tc>
          <w:tcPr>
            <w:tcW w:w="3120" w:type="dxa"/>
          </w:tcPr>
          <w:p>
            <w:pPr/>
            <w:r>
              <w:t xml:space="preserve">162</w:t>
            </w:r>
          </w:p>
        </w:tc>
      </w:tr>
      <w:tr>
        <w:tc>
          <w:tcPr>
            <w:tcW w:w="3120" w:type="dxa"/>
          </w:tcPr>
          <w:p>
            <w:pPr/>
            <w:r>
              <w:rPr>
                <w:b/>
              </w:rPr>
              <w:t xml:space="preserve">Chapter 1 total</w:t>
            </w:r>
          </w:p>
        </w:tc>
        <w:tc>
          <w:tcPr>
            <w:tcW w:w="3120" w:type="dxa"/>
          </w:tcPr>
          <w:p>
            <w:pPr/>
            <w:r>
              <w:rPr>
                <w:b/>
              </w:rPr>
              <w:t xml:space="preserve">450</w:t>
            </w:r>
          </w:p>
        </w:tc>
        <w:tc>
          <w:tcPr>
            <w:tcW w:w="3120" w:type="dxa"/>
          </w:tcPr>
          <w:p>
            <w:pPr/>
            <w:r>
              <w:rPr>
                <w:b/>
              </w:rPr>
              <w:t xml:space="preserve">452</w:t>
            </w:r>
          </w:p>
        </w:tc>
      </w:tr>
      <w:tr>
        <w:tc>
          <w:tcPr>
            <w:tcW w:w="3120" w:type="dxa"/>
          </w:tcPr>
          <w:p>
            <w:pPr/>
            <w:r>
              <w:t xml:space="preserve">2.1 State of the Art</w:t>
            </w:r>
          </w:p>
        </w:tc>
        <w:tc>
          <w:tcPr>
            <w:tcW w:w="3120" w:type="dxa"/>
          </w:tcPr>
          <w:p>
            <w:pPr/>
            <w:r>
              <w:t xml:space="preserve">300</w:t>
            </w:r>
          </w:p>
        </w:tc>
        <w:tc>
          <w:tcPr>
            <w:tcW w:w="3120" w:type="dxa"/>
          </w:tcPr>
          <w:p>
            <w:pPr/>
            <w:r>
              <w:t xml:space="preserve">296</w:t>
            </w:r>
          </w:p>
        </w:tc>
      </w:tr>
      <w:tr>
        <w:tc>
          <w:tcPr>
            <w:tcW w:w="3120" w:type="dxa"/>
          </w:tcPr>
          <w:p>
            <w:pPr/>
            <w:r>
              <w:t xml:space="preserve">2.2 Critical Evaluation</w:t>
            </w:r>
          </w:p>
        </w:tc>
        <w:tc>
          <w:tcPr>
            <w:tcW w:w="3120" w:type="dxa"/>
          </w:tcPr>
          <w:p>
            <w:pPr/>
            <w:r>
              <w:t xml:space="preserve">250</w:t>
            </w:r>
          </w:p>
        </w:tc>
        <w:tc>
          <w:tcPr>
            <w:tcW w:w="3120" w:type="dxa"/>
          </w:tcPr>
          <w:p>
            <w:pPr/>
            <w:r>
              <w:t xml:space="preserve">252</w:t>
            </w:r>
          </w:p>
        </w:tc>
      </w:tr>
      <w:tr>
        <w:tc>
          <w:tcPr>
            <w:tcW w:w="3120" w:type="dxa"/>
          </w:tcPr>
          <w:p>
            <w:pPr/>
            <w:r>
              <w:t xml:space="preserve">2.3 Identified Gap</w:t>
            </w:r>
          </w:p>
        </w:tc>
        <w:tc>
          <w:tcPr>
            <w:tcW w:w="3120" w:type="dxa"/>
          </w:tcPr>
          <w:p>
            <w:pPr/>
            <w:r>
              <w:t xml:space="preserve">150</w:t>
            </w:r>
          </w:p>
        </w:tc>
        <w:tc>
          <w:tcPr>
            <w:tcW w:w="3120" w:type="dxa"/>
          </w:tcPr>
          <w:p>
            <w:pPr/>
            <w:r>
              <w:t xml:space="preserve">151</w:t>
            </w:r>
          </w:p>
        </w:tc>
      </w:tr>
      <w:tr>
        <w:tc>
          <w:tcPr>
            <w:tcW w:w="3120" w:type="dxa"/>
          </w:tcPr>
          <w:p>
            <w:pPr/>
            <w:r>
              <w:rPr>
                <w:b/>
              </w:rPr>
              <w:t xml:space="preserve">Chapter 2 total</w:t>
            </w:r>
          </w:p>
        </w:tc>
        <w:tc>
          <w:tcPr>
            <w:tcW w:w="3120" w:type="dxa"/>
          </w:tcPr>
          <w:p>
            <w:pPr/>
            <w:r>
              <w:rPr>
                <w:b/>
              </w:rPr>
              <w:t xml:space="preserve">700</w:t>
            </w:r>
          </w:p>
        </w:tc>
        <w:tc>
          <w:tcPr>
            <w:tcW w:w="3120" w:type="dxa"/>
          </w:tcPr>
          <w:p>
            <w:pPr/>
            <w:r>
              <w:rPr>
                <w:b/>
              </w:rPr>
              <w:t xml:space="preserve">699</w:t>
            </w:r>
          </w:p>
        </w:tc>
      </w:tr>
      <w:tr>
        <w:tc>
          <w:tcPr>
            <w:tcW w:w="3120" w:type="dxa"/>
          </w:tcPr>
          <w:p>
            <w:pPr/>
            <w:r>
              <w:t xml:space="preserve">3.1 Research Approach</w:t>
            </w:r>
          </w:p>
        </w:tc>
        <w:tc>
          <w:tcPr>
            <w:tcW w:w="3120" w:type="dxa"/>
          </w:tcPr>
          <w:p>
            <w:pPr/>
            <w:r>
              <w:t xml:space="preserve">100</w:t>
            </w:r>
          </w:p>
        </w:tc>
        <w:tc>
          <w:tcPr>
            <w:tcW w:w="3120" w:type="dxa"/>
          </w:tcPr>
          <w:p>
            <w:pPr/>
            <w:r>
              <w:t xml:space="preserve">109</w:t>
            </w:r>
          </w:p>
        </w:tc>
      </w:tr>
      <w:tr>
        <w:tc>
          <w:tcPr>
            <w:tcW w:w="3120" w:type="dxa"/>
          </w:tcPr>
          <w:p>
            <w:pPr/>
            <w:r>
              <w:t xml:space="preserve">3.2 Detailed Design</w:t>
            </w:r>
          </w:p>
        </w:tc>
        <w:tc>
          <w:tcPr>
            <w:tcW w:w="3120" w:type="dxa"/>
          </w:tcPr>
          <w:p>
            <w:pPr/>
            <w:r>
              <w:t xml:space="preserve">300</w:t>
            </w:r>
          </w:p>
        </w:tc>
        <w:tc>
          <w:tcPr>
            <w:tcW w:w="3120" w:type="dxa"/>
          </w:tcPr>
          <w:p>
            <w:pPr/>
            <w:r>
              <w:t xml:space="preserve">298</w:t>
            </w:r>
          </w:p>
        </w:tc>
      </w:tr>
      <w:tr>
        <w:tc>
          <w:tcPr>
            <w:tcW w:w="3120" w:type="dxa"/>
          </w:tcPr>
          <w:p>
            <w:pPr/>
            <w:r>
              <w:t xml:space="preserve">3.3 Testbed Specification</w:t>
            </w:r>
          </w:p>
        </w:tc>
        <w:tc>
          <w:tcPr>
            <w:tcW w:w="3120" w:type="dxa"/>
          </w:tcPr>
          <w:p>
            <w:pPr/>
            <w:r>
              <w:t xml:space="preserve">150</w:t>
            </w:r>
          </w:p>
        </w:tc>
        <w:tc>
          <w:tcPr>
            <w:tcW w:w="3120" w:type="dxa"/>
          </w:tcPr>
          <w:p>
            <w:pPr/>
            <w:r>
              <w:t xml:space="preserve">151</w:t>
            </w:r>
          </w:p>
        </w:tc>
      </w:tr>
      <w:tr>
        <w:tc>
          <w:tcPr>
            <w:tcW w:w="3120" w:type="dxa"/>
          </w:tcPr>
          <w:p>
            <w:pPr/>
            <w:r>
              <w:t xml:space="preserve">3.4 Evaluation Protocol</w:t>
            </w:r>
          </w:p>
        </w:tc>
        <w:tc>
          <w:tcPr>
            <w:tcW w:w="3120" w:type="dxa"/>
          </w:tcPr>
          <w:p>
            <w:pPr/>
            <w:r>
              <w:t xml:space="preserve">200</w:t>
            </w:r>
          </w:p>
        </w:tc>
        <w:tc>
          <w:tcPr>
            <w:tcW w:w="3120" w:type="dxa"/>
          </w:tcPr>
          <w:p>
            <w:pPr/>
            <w:r>
              <w:t xml:space="preserve">197</w:t>
            </w:r>
          </w:p>
        </w:tc>
      </w:tr>
      <w:tr>
        <w:tc>
          <w:tcPr>
            <w:tcW w:w="3120" w:type="dxa"/>
          </w:tcPr>
          <w:p>
            <w:pPr/>
            <w:r>
              <w:t xml:space="preserve">3.5 Data Plan</w:t>
            </w:r>
          </w:p>
        </w:tc>
        <w:tc>
          <w:tcPr>
            <w:tcW w:w="3120" w:type="dxa"/>
          </w:tcPr>
          <w:p>
            <w:pPr/>
            <w:r>
              <w:t xml:space="preserve">100</w:t>
            </w:r>
          </w:p>
        </w:tc>
        <w:tc>
          <w:tcPr>
            <w:tcW w:w="3120" w:type="dxa"/>
          </w:tcPr>
          <w:p>
            <w:pPr/>
            <w:r>
              <w:t xml:space="preserve">105</w:t>
            </w:r>
          </w:p>
        </w:tc>
      </w:tr>
      <w:tr>
        <w:tc>
          <w:tcPr>
            <w:tcW w:w="3120" w:type="dxa"/>
          </w:tcPr>
          <w:p>
            <w:pPr/>
            <w:r>
              <w:t xml:space="preserve">3.6 Departures (text only)</w:t>
            </w:r>
          </w:p>
        </w:tc>
        <w:tc>
          <w:tcPr>
            <w:tcW w:w="3120" w:type="dxa"/>
          </w:tcPr>
          <w:p>
            <w:pPr/>
            <w:r>
              <w:t xml:space="preserve">50</w:t>
            </w:r>
          </w:p>
        </w:tc>
        <w:tc>
          <w:tcPr>
            <w:tcW w:w="3120" w:type="dxa"/>
          </w:tcPr>
          <w:p>
            <w:pPr/>
            <w:r>
              <w:t xml:space="preserve">46</w:t>
            </w:r>
          </w:p>
        </w:tc>
      </w:tr>
      <w:tr>
        <w:tc>
          <w:tcPr>
            <w:tcW w:w="3120" w:type="dxa"/>
          </w:tcPr>
          <w:p>
            <w:pPr/>
            <w:r>
              <w:rPr>
                <w:b/>
              </w:rPr>
              <w:t xml:space="preserve">Chapter 3 total</w:t>
            </w:r>
          </w:p>
        </w:tc>
        <w:tc>
          <w:tcPr>
            <w:tcW w:w="3120" w:type="dxa"/>
          </w:tcPr>
          <w:p>
            <w:pPr/>
            <w:r>
              <w:rPr>
                <w:b/>
              </w:rPr>
              <w:t xml:space="preserve">900</w:t>
            </w:r>
          </w:p>
        </w:tc>
        <w:tc>
          <w:tcPr>
            <w:tcW w:w="3120" w:type="dxa"/>
          </w:tcPr>
          <w:p>
            <w:pPr/>
            <w:r>
              <w:rPr>
                <w:b/>
              </w:rPr>
              <w:t xml:space="preserve">906</w:t>
            </w:r>
          </w:p>
        </w:tc>
      </w:tr>
      <w:tr>
        <w:tc>
          <w:tcPr>
            <w:tcW w:w="3120" w:type="dxa"/>
          </w:tcPr>
          <w:p>
            <w:pPr/>
            <w:r>
              <w:rPr>
                <w:b/>
              </w:rPr>
              <w:t xml:space="preserve">Grand total</w:t>
            </w:r>
          </w:p>
        </w:tc>
        <w:tc>
          <w:tcPr>
            <w:tcW w:w="3120" w:type="dxa"/>
          </w:tcPr>
          <w:p>
            <w:pPr/>
            <w:r>
              <w:rPr>
                <w:b/>
              </w:rPr>
              <w:t xml:space="preserve">2,050</w:t>
            </w:r>
          </w:p>
        </w:tc>
        <w:tc>
          <w:tcPr>
            <w:tcW w:w="3120" w:type="dxa"/>
          </w:tcPr>
          <w:p>
            <w:pPr/>
            <w:r>
              <w:rPr>
                <w:b/>
              </w:rPr>
              <w:t xml:space="preserve">2,057</w:t>
            </w:r>
          </w:p>
        </w:tc>
      </w:tr>
    </w:tbl>
    <w:p>
      <w:pPr>
        <w:pStyle w:val="Heading2"/>
      </w:pPr>
      <w:r>
        <w:t xml:space="preserve">References</w:t>
      </w:r>
    </w:p>
    <w:p>
      <w:pPr>
        <w:pStyle w:val="ListParagraph"/>
        <w:numPr>
          <w:ilvl w:val="0"/>
          <w:numId w:val="4"/>
        </w:numPr>
      </w:pPr>
      <w:r>
        <w:t xml:space="preserve">Arp, D. et al. (2022) 'Dos and don'ts of machine learning in computer security', </w:t>
      </w:r>
      <w:r>
        <w:rPr>
          <w:i/>
        </w:rPr>
        <w:t xml:space="preserve">31st USENIX Security Symposium</w:t>
      </w:r>
      <w:r>
        <w:t xml:space="preserve">. Boston: USENIX Association.</w:t>
      </w:r>
    </w:p>
    <w:p>
      <w:pPr>
        <w:pStyle w:val="ListParagraph"/>
        <w:numPr>
          <w:ilvl w:val="0"/>
          <w:numId w:val="4"/>
        </w:numPr>
      </w:pPr>
      <w:r>
        <w:t xml:space="preserve">Capuano, N., Fenza, G., Loia, V. and Stanzione, C. (2022) 'Explainable artificial intelligence in cybersecurity: a survey', </w:t>
      </w:r>
      <w:r>
        <w:rPr>
          <w:i/>
        </w:rPr>
        <w:t xml:space="preserve">IEEE Access</w:t>
      </w:r>
      <w:r>
        <w:t xml:space="preserve">, 10, pp. 93575–93600.</w:t>
      </w:r>
    </w:p>
    <w:p>
      <w:pPr>
        <w:pStyle w:val="ListParagraph"/>
        <w:numPr>
          <w:ilvl w:val="0"/>
          <w:numId w:val="4"/>
        </w:numPr>
      </w:pPr>
      <w:r>
        <w:t xml:space="preserve">Carrier, T., Victor, P., Tekeoglu, A. and Lashkari, A.H. (2022) 'Detecting obfuscated malware using memory feature engineering', </w:t>
      </w:r>
      <w:r>
        <w:rPr>
          <w:i/>
        </w:rPr>
        <w:t xml:space="preserve">Proceedings of the 8th International Conference on Information Systems Security and Privacy (ICISSP)</w:t>
      </w:r>
      <w:r>
        <w:t xml:space="preserve">. SciTePress.</w:t>
      </w:r>
    </w:p>
    <w:p>
      <w:pPr>
        <w:pStyle w:val="ListParagraph"/>
        <w:numPr>
          <w:ilvl w:val="0"/>
          <w:numId w:val="4"/>
        </w:numPr>
      </w:pPr>
      <w:r>
        <w:t xml:space="preserve">Dener, M., Ok, G. and Orman, A. (2022) 'Malware detection using memory analysis data in big data environment', </w:t>
      </w:r>
      <w:r>
        <w:rPr>
          <w:i/>
        </w:rPr>
        <w:t xml:space="preserve">Applied Sciences</w:t>
      </w:r>
      <w:r>
        <w:t xml:space="preserve">, 12(17), 8604.</w:t>
      </w:r>
    </w:p>
    <w:p>
      <w:pPr>
        <w:pStyle w:val="ListParagraph"/>
        <w:numPr>
          <w:ilvl w:val="0"/>
          <w:numId w:val="4"/>
        </w:numPr>
      </w:pPr>
      <w:r>
        <w:t xml:space="preserve">Hall, S.W., Sakzad, A. and Choo, K.-K.R. (2022) 'Explainable artificial intelligence for digital forensics', </w:t>
      </w:r>
      <w:r>
        <w:rPr>
          <w:i/>
        </w:rPr>
        <w:t xml:space="preserve">WIREs Forensic Science</w:t>
      </w:r>
      <w:r>
        <w:t xml:space="preserve">, 4(2), e1434.</w:t>
      </w:r>
    </w:p>
    <w:p>
      <w:pPr>
        <w:pStyle w:val="ListParagraph"/>
        <w:numPr>
          <w:ilvl w:val="0"/>
          <w:numId w:val="4"/>
        </w:numPr>
      </w:pPr>
      <w:r>
        <w:t xml:space="preserve">ISO/IEC (2012) </w:t>
      </w:r>
      <w:r>
        <w:rPr>
          <w:i/>
        </w:rPr>
        <w:t xml:space="preserve">ISO/IEC 27037:2012 Guidelines for identification, collection, acquisition and preservation of digital evidence</w:t>
      </w:r>
      <w:r>
        <w:t xml:space="preserve">. Geneva: ISO.</w:t>
      </w:r>
    </w:p>
    <w:p>
      <w:pPr>
        <w:pStyle w:val="ListParagraph"/>
        <w:numPr>
          <w:ilvl w:val="0"/>
          <w:numId w:val="4"/>
        </w:numPr>
      </w:pPr>
      <w:r>
        <w:t xml:space="preserve">Liu, F.T., Ting, K.M. and Zhou, Z.-H. (2008) 'Isolation forest', </w:t>
      </w:r>
      <w:r>
        <w:rPr>
          <w:i/>
        </w:rPr>
        <w:t xml:space="preserve">Proceedings of the 8th IEEE International Conference on Data Mining</w:t>
      </w:r>
      <w:r>
        <w:t xml:space="preserve">, pp. 413–422.</w:t>
      </w:r>
    </w:p>
    <w:p>
      <w:pPr>
        <w:pStyle w:val="ListParagraph"/>
        <w:numPr>
          <w:ilvl w:val="0"/>
          <w:numId w:val="4"/>
        </w:numPr>
      </w:pPr>
      <w:r>
        <w:t xml:space="preserve">Lundberg, S.M. and Lee, S.-I. (2017) 'A unified approach to interpreting model predictions', </w:t>
      </w:r>
      <w:r>
        <w:rPr>
          <w:i/>
        </w:rPr>
        <w:t xml:space="preserve">Advances in Neural Information Processing Systems 30</w:t>
      </w:r>
      <w:r>
        <w:t xml:space="preserve">.</w:t>
      </w:r>
    </w:p>
    <w:p>
      <w:pPr>
        <w:pStyle w:val="ListParagraph"/>
        <w:numPr>
          <w:ilvl w:val="0"/>
          <w:numId w:val="4"/>
        </w:numPr>
      </w:pPr>
      <w:r>
        <w:t xml:space="preserve">Lundberg, S.M. et al. (2020) 'From local explanations to global understanding with explainable AI for trees', </w:t>
      </w:r>
      <w:r>
        <w:rPr>
          <w:i/>
        </w:rPr>
        <w:t xml:space="preserve">Nature Machine Intelligence</w:t>
      </w:r>
      <w:r>
        <w:t xml:space="preserve">, 2(1), pp. 56–67.</w:t>
      </w:r>
    </w:p>
    <w:p>
      <w:pPr>
        <w:pStyle w:val="ListParagraph"/>
        <w:numPr>
          <w:ilvl w:val="0"/>
          <w:numId w:val="4"/>
        </w:numPr>
      </w:pPr>
      <w:r>
        <w:t xml:space="preserve">Nadeem, A. et al. (2023) 'SoK: Explainable machine learning for computer security applications', </w:t>
      </w:r>
      <w:r>
        <w:rPr>
          <w:i/>
        </w:rPr>
        <w:t xml:space="preserve">IEEE 8th European Symposium on Security and Privacy (EuroS&amp;P)</w:t>
      </w:r>
      <w:r>
        <w:t xml:space="preserve">.</w:t>
      </w:r>
    </w:p>
    <w:p>
      <w:pPr>
        <w:pStyle w:val="ListParagraph"/>
        <w:numPr>
          <w:ilvl w:val="0"/>
          <w:numId w:val="4"/>
        </w:numPr>
      </w:pPr>
      <w:r>
        <w:t xml:space="preserve">Peffers, K., Tuunanen, T., Rothenberger, M.A. and Chatterjee, S. (2007) 'A design science research methodology for information systems research', </w:t>
      </w:r>
      <w:r>
        <w:rPr>
          <w:i/>
        </w:rPr>
        <w:t xml:space="preserve">Journal of Management Information Systems</w:t>
      </w:r>
      <w:r>
        <w:t xml:space="preserve">, 24(3), pp. 45–77.</w:t>
      </w:r>
    </w:p>
    <w:p>
      <w:pPr>
        <w:pStyle w:val="ListParagraph"/>
        <w:numPr>
          <w:ilvl w:val="0"/>
          <w:numId w:val="4"/>
        </w:numPr>
      </w:pPr>
      <w:r>
        <w:t xml:space="preserve">Ribeiro, M.T., Singh, S. and Guestrin, C. (2016) '"Why should I trust you?": explaining the predictions of any classifier', </w:t>
      </w:r>
      <w:r>
        <w:rPr>
          <w:i/>
        </w:rPr>
        <w:t xml:space="preserve">Proceedings of the 22nd ACM SIGKDD International Conference on Knowledge Discovery and Data Mining</w:t>
      </w:r>
      <w:r>
        <w:t xml:space="preserve">, pp. 1135–1144.</w:t>
      </w:r>
    </w:p>
    <w:p>
      <w:pPr>
        <w:pStyle w:val="ListParagraph"/>
        <w:numPr>
          <w:ilvl w:val="0"/>
          <w:numId w:val="4"/>
        </w:numPr>
      </w:pPr>
      <w:r>
        <w:t xml:space="preserve">Shafin, S.S., Karmakar, G. and Mareels, I. (2023) 'Obfuscated memory malware detection in resource-constrained IoT devices for smart city applications', </w:t>
      </w:r>
      <w:r>
        <w:rPr>
          <w:i/>
        </w:rPr>
        <w:t xml:space="preserve">Sensors</w:t>
      </w:r>
      <w:r>
        <w:t xml:space="preserve">, 23(11), 5348.</w:t>
      </w:r>
    </w:p>
    <w:p>
      <w:pPr>
        <w:pStyle w:val="ListParagraph"/>
        <w:numPr>
          <w:ilvl w:val="0"/>
          <w:numId w:val="4"/>
        </w:numPr>
      </w:pPr>
      <w:r>
        <w:t xml:space="preserve">Volatility Foundation (n.d.) </w:t>
      </w:r>
      <w:r>
        <w:rPr>
          <w:i/>
        </w:rPr>
        <w:t xml:space="preserve">Volatility 3</w:t>
      </w:r>
      <w:r>
        <w:t xml:space="preserve">. Available at: </w:t>
      </w:r>
      <w:hyperlink r:id="rId4" w:history="1">
        <w:r>
          <w:rPr>
            <w:rStyle w:val="Hyperlink"/>
          </w:rPr>
          <w:t xml:space="preserve">github.com/volatilityfoundation/volatility3</w:t>
        </w:r>
      </w:hyperlink>
      <w:r>
        <w:t xml:space="preserve">.</w:t>
      </w:r>
    </w:p>
    <w:p>
      <w:pPr>
        <w:pStyle w:val="ListParagraph"/>
        <w:numPr>
          <w:ilvl w:val="0"/>
          <w:numId w:val="4"/>
        </w:numPr>
      </w:pPr>
      <w:r>
        <w:t xml:space="preserve">Warnecke, A., Arp, D., Wressnegger, C. and Rieck, K. (2020) 'Evaluating explanation methods for deep learning in security', </w:t>
      </w:r>
      <w:r>
        <w:rPr>
          <w:i/>
        </w:rPr>
        <w:t xml:space="preserve">IEEE European Symposium on Security and Privacy (EuroS&amp;P)</w:t>
      </w:r>
      <w:r>
        <w:t xml:space="preserve">, pp. 158–174.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github.com/volatilityfoundation/volatility3"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Memory Forensic Triage AI — Dissertation Chapters 1–3</dc:title>
  <dc:description>Claude Docs node/5d3a66e6-eb32@6 docx-w6</dc:description>
  <cp:revision>6</cp:revision>
</cp:coreProperties>
</file>