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pPr>
      <w:r>
        <w:rPr>
          <w:rFonts w:ascii="Arial" w:cs="Arial" w:eastAsia="Arial" w:hAnsi="Arial"/>
          <w:b/>
          <w:bCs/>
          <w:color w:val="000000"/>
          <w:sz w:val="80"/>
          <w:szCs w:val="80"/>
        </w:rPr>
        <w:t xml:space="preserve">MODUS</w:t>
      </w:r>
    </w:p>
    <w:p>
      <w:pPr>
        <w:spacing w:after="60" w:before="0"/>
      </w:pPr>
      <w:r>
        <w:rPr>
          <w:rFonts w:ascii="Arial" w:cs="Arial" w:eastAsia="Arial" w:hAnsi="Arial"/>
          <w:i/>
          <w:iCs/>
          <w:sz w:val="26"/>
          <w:szCs w:val="26"/>
        </w:rPr>
        <w:t xml:space="preserve">Intelligent Commerce. Unified.</w:t>
      </w:r>
    </w:p>
    <w:p>
      <w:pPr>
        <w:spacing w:after="60" w:before="0"/>
      </w:pPr>
      <w:r>
        <w:rPr>
          <w:rFonts w:ascii="Arial" w:cs="Arial" w:eastAsia="Arial" w:hAnsi="Arial"/>
          <w:sz w:val="21"/>
          <w:szCs w:val="21"/>
        </w:rPr>
        <w:t xml:space="preserve">Concept Proposal — AI-Powered Inventory Intelligence &amp; Personalised Recommendation Platform</w:t>
      </w:r>
    </w:p>
    <w:p>
      <w:pPr>
        <w:spacing w:after="80" w:before="0"/>
      </w:pPr>
      <w:r>
        <w:t xml:space="preserve"/>
      </w:r>
    </w:p>
    <w:p>
      <w:pPr>
        <w:spacing w:after="80" w:before="40"/>
      </w:pPr>
      <w:r>
        <w:rPr>
          <w:rFonts w:ascii="Arial" w:cs="Arial" w:eastAsia="Arial" w:hAnsi="Arial"/>
          <w:color w:val="111111"/>
          <w:sz w:val="21"/>
          <w:szCs w:val="21"/>
        </w:rPr>
        <w:t xml:space="preserve">Category: Commerce Technology / AI SaaS</w:t>
      </w:r>
    </w:p>
    <w:p>
      <w:pPr>
        <w:spacing w:after="80" w:before="40"/>
      </w:pPr>
      <w:r>
        <w:rPr>
          <w:rFonts w:ascii="Arial" w:cs="Arial" w:eastAsia="Arial" w:hAnsi="Arial"/>
          <w:color w:val="111111"/>
          <w:sz w:val="21"/>
          <w:szCs w:val="21"/>
        </w:rPr>
        <w:t xml:space="preserve">Target Market: Any business with inventory, logistics, and sales — from SMB to Enterprise</w:t>
      </w:r>
    </w:p>
    <w:p>
      <w:pPr>
        <w:spacing w:after="80" w:before="40"/>
      </w:pPr>
      <w:r>
        <w:rPr>
          <w:rFonts w:ascii="Arial" w:cs="Arial" w:eastAsia="Arial" w:hAnsi="Arial"/>
          <w:color w:val="111111"/>
          <w:sz w:val="21"/>
          <w:szCs w:val="21"/>
        </w:rPr>
        <w:t xml:space="preserve">Core Technology: Large Language Model Synthesis + Multi-Source Data Aggregation</w:t>
      </w:r>
    </w:p>
    <w:p>
      <w:r>
        <w:br w:type="page"/>
      </w:r>
    </w:p>
    <w:p>
      <w:pPr>
        <w:spacing w:after="140" w:before="360"/>
      </w:pPr>
      <w:r>
        <w:rPr>
          <w:rFonts w:ascii="Arial" w:cs="Arial" w:eastAsia="Arial" w:hAnsi="Arial"/>
          <w:b/>
          <w:bCs/>
          <w:color w:val="000000"/>
          <w:sz w:val="36"/>
          <w:szCs w:val="36"/>
        </w:rPr>
        <w:t xml:space="preserve">1. The Problem</w:t>
      </w:r>
    </w:p>
    <w:p>
      <w:pPr>
        <w:spacing w:after="100" w:before="240"/>
      </w:pPr>
      <w:r>
        <w:rPr>
          <w:rFonts w:ascii="Arial" w:cs="Arial" w:eastAsia="Arial" w:hAnsi="Arial"/>
          <w:b/>
          <w:bCs/>
          <w:color w:val="000000"/>
          <w:sz w:val="26"/>
          <w:szCs w:val="26"/>
        </w:rPr>
        <w:t xml:space="preserve">1.1 The Inventory Intelligence Gap</w:t>
      </w:r>
    </w:p>
    <w:p>
      <w:pPr>
        <w:spacing w:after="80" w:before="40"/>
      </w:pPr>
      <w:r>
        <w:rPr>
          <w:rFonts w:ascii="Arial" w:cs="Arial" w:eastAsia="Arial" w:hAnsi="Arial"/>
          <w:color w:val="111111"/>
          <w:sz w:val="21"/>
          <w:szCs w:val="21"/>
        </w:rPr>
        <w:t xml:space="preserve">Businesses that carry and sell physical products consistently face the same structural problem: data abundance and insight scarcity. The average mid-size operator uses three to seven separate tools to manage their business, each producing siloed reports with no shared intelligence. The connections between inventory performance and customer behaviour go undrawn — and that gap costs money at scale.</w:t>
      </w:r>
    </w:p>
    <w:p>
      <w:pPr>
        <w:spacing w:after="80" w:before="40"/>
      </w:pPr>
      <w:r>
        <w:rPr>
          <w:rFonts w:ascii="Arial" w:cs="Arial" w:eastAsia="Arial" w:hAnsi="Arial"/>
          <w:color w:val="111111"/>
          <w:sz w:val="21"/>
          <w:szCs w:val="21"/>
        </w:rPr>
        <w:t xml:space="preserve">According to WAIR's retail financial analysis, inventory carrying costs account for 20 to 30 percent of a company's total inventory value annually. OneCart estimates that up to 30 percent of inventory held by retailers qualifies as dead or slow-moving stock at any given time. Zooming out, IHL Group research puts total global inventory distortion — combining overstock and stockouts — at $1.77 trillion in 2023, equivalent to 7.2 percent of all retail sales. For a business with $200,000 in inventory, the carrying cost drag alone is $40,000 to $60,000 per year before accounting for markdowns or lost capital.</w:t>
      </w:r>
    </w:p>
    <w:p>
      <w:pPr>
        <w:spacing w:after="80" w:before="0"/>
      </w:pPr>
      <w:r>
        <w:t xml:space="preserve"/>
      </w:r>
    </w:p>
    <w:p>
      <w:pPr>
        <w:spacing w:after="100" w:before="240"/>
      </w:pPr>
      <w:r>
        <w:rPr>
          <w:rFonts w:ascii="Arial" w:cs="Arial" w:eastAsia="Arial" w:hAnsi="Arial"/>
          <w:b/>
          <w:bCs/>
          <w:color w:val="000000"/>
          <w:sz w:val="26"/>
          <w:szCs w:val="26"/>
        </w:rPr>
        <w:t xml:space="preserve">1.2 Why Existing Solutions Fall Short</w:t>
      </w:r>
    </w:p>
    <w:p>
      <w:pPr>
        <w:spacing w:after="80" w:before="40"/>
      </w:pPr>
      <w:r>
        <w:rPr>
          <w:rFonts w:ascii="Arial" w:cs="Arial" w:eastAsia="Arial" w:hAnsi="Arial"/>
          <w:color w:val="111111"/>
          <w:sz w:val="21"/>
          <w:szCs w:val="21"/>
        </w:rPr>
        <w:t xml:space="preserve">The market offers two mature but siloed categories: inventory management platforms and recommendation or marketing analytics engines. The gap is not within either — it is between them. No existing platform synthesises inventory health signals with customer behaviour data to produce unified, actionable merchandising decisions.</w:t>
      </w:r>
    </w:p>
    <w:p>
      <w:pPr>
        <w:spacing w:after="80" w:before="40"/>
      </w:pPr>
      <w:r>
        <w:rPr>
          <w:rFonts w:ascii="Arial" w:cs="Arial" w:eastAsia="Arial" w:hAnsi="Arial"/>
          <w:color w:val="111111"/>
          <w:sz w:val="21"/>
          <w:szCs w:val="21"/>
        </w:rPr>
        <w:t xml:space="preserve">This is not a gap existing players can close by adding a feature. An inventory tool would need to rebuild its entire customer intelligence layer. A recommendation engine would need to rebuild its entire inventory logic. Neither can do so without becoming a fundamentally different product. Modus is built from the ground up at the intersection of both — which is why this category does not yet exist as a standalone product and why Modus holds a structural first-mover advantage in defining it.</w:t>
      </w:r>
    </w:p>
    <w:p>
      <w:pPr>
        <w:spacing w:after="80" w:before="40"/>
      </w:pPr>
      <w:r>
        <w:rPr>
          <w:rFonts w:ascii="Arial" w:cs="Arial" w:eastAsia="Arial" w:hAnsi="Arial"/>
          <w:color w:val="111111"/>
          <w:sz w:val="21"/>
          <w:szCs w:val="21"/>
        </w:rPr>
        <w:t xml:space="preserve">The landscape is also shifting. Shopify's native inventory tool Stocky is being discontinued on August 31, 2025, leaving a meaningful segment of the market actively seeking alternatives. Modus enters at this inflection point.</w:t>
      </w:r>
    </w:p>
    <w:p>
      <w:pPr>
        <w:spacing w:after="80" w:before="0"/>
      </w:pPr>
      <w:r>
        <w:t xml:space="preserve"/>
      </w:r>
    </w:p>
    <w:p>
      <w:pPr>
        <w:spacing w:after="100" w:before="240"/>
      </w:pPr>
      <w:r>
        <w:rPr>
          <w:rFonts w:ascii="Arial" w:cs="Arial" w:eastAsia="Arial" w:hAnsi="Arial"/>
          <w:b/>
          <w:bCs/>
          <w:color w:val="000000"/>
          <w:sz w:val="26"/>
          <w:szCs w:val="26"/>
        </w:rPr>
        <w:t xml:space="preserve">1.3 Who Modus Serves</w:t>
      </w:r>
    </w:p>
    <w:p>
      <w:pPr>
        <w:spacing w:after="80" w:before="40"/>
      </w:pPr>
      <w:r>
        <w:rPr>
          <w:rFonts w:ascii="Arial" w:cs="Arial" w:eastAsia="Arial" w:hAnsi="Arial"/>
          <w:color w:val="111111"/>
          <w:sz w:val="21"/>
          <w:szCs w:val="21"/>
        </w:rPr>
        <w:t xml:space="preserve">Modus is designed for any business that holds physical inventory, operates logistics or fulfilment processes, and sells products through any channel. This includes e-commerce merchants on Shopify, WooCommerce, or BigCommerce; wholesale and distribution businesses; omnichannel retailers; and operators in specialised verticals such as food and beverage, pharmaceuticals, electronics, and fashion. The platform is not limited to businesses using an e-commerce platform — any company with inventory and sales data can connect Modus directly via API or data import.</w:t>
      </w:r>
    </w:p>
    <w:p>
      <w:pPr>
        <w:spacing w:after="80" w:before="40"/>
      </w:pPr>
      <w:r>
        <w:rPr>
          <w:rFonts w:ascii="Arial" w:cs="Arial" w:eastAsia="Arial" w:hAnsi="Arial"/>
          <w:color w:val="111111"/>
          <w:sz w:val="21"/>
          <w:szCs w:val="21"/>
        </w:rPr>
        <w:t xml:space="preserve">The highest-value initial segment is established mid-size businesses generating $10,000 to $500,000 per month with sufficient transactional history for the AI layer to reason meaningfully. Smaller and newer businesses are served through a Starter tier using rule-based logic that graduates to full AI synthesis as their data matures.</w:t>
      </w:r>
    </w:p>
    <w:p>
      <w:r>
        <w:br w:type="page"/>
      </w:r>
    </w:p>
    <w:p>
      <w:pPr>
        <w:spacing w:after="140" w:before="360"/>
      </w:pPr>
      <w:r>
        <w:rPr>
          <w:rFonts w:ascii="Arial" w:cs="Arial" w:eastAsia="Arial" w:hAnsi="Arial"/>
          <w:b/>
          <w:bCs/>
          <w:color w:val="000000"/>
          <w:sz w:val="36"/>
          <w:szCs w:val="36"/>
        </w:rPr>
        <w:t xml:space="preserve">2. The Platform</w:t>
      </w:r>
    </w:p>
    <w:p>
      <w:pPr>
        <w:spacing w:after="100" w:before="240"/>
      </w:pPr>
      <w:r>
        <w:rPr>
          <w:rFonts w:ascii="Arial" w:cs="Arial" w:eastAsia="Arial" w:hAnsi="Arial"/>
          <w:b/>
          <w:bCs/>
          <w:color w:val="000000"/>
          <w:sz w:val="26"/>
          <w:szCs w:val="26"/>
        </w:rPr>
        <w:t xml:space="preserve">2.1 What Modus Is</w:t>
      </w:r>
    </w:p>
    <w:p>
      <w:pPr>
        <w:spacing w:after="80" w:before="40"/>
      </w:pPr>
      <w:r>
        <w:rPr>
          <w:rFonts w:ascii="Arial" w:cs="Arial" w:eastAsia="Arial" w:hAnsi="Arial"/>
          <w:color w:val="111111"/>
          <w:sz w:val="21"/>
          <w:szCs w:val="21"/>
        </w:rPr>
        <w:t xml:space="preserve">Modus is a standalone SaaS platform — not a plugin, not an extension — that functions as an intelligence layer above a business's existing commerce infrastructure. It aggregates signals from multiple data sources, normalises them into a unified schema, and uses large language model reasoning to synthesise those signals into prioritised, actionable recommendations delivered through a dedicated dashboard.</w:t>
      </w:r>
    </w:p>
    <w:p>
      <w:pPr>
        <w:spacing w:after="80" w:before="40"/>
      </w:pPr>
      <w:r>
        <w:rPr>
          <w:rFonts w:ascii="Arial" w:cs="Arial" w:eastAsia="Arial" w:hAnsi="Arial"/>
          <w:color w:val="111111"/>
          <w:sz w:val="21"/>
          <w:szCs w:val="21"/>
        </w:rPr>
        <w:t xml:space="preserve">The platform operates on raw data at its foundation. At minimum, Modus requires sales history, inventory levels, product catalogue, and customer transaction records. Integrations with third-party tools — recommendation engines, inventory platforms, email marketing systems — are additive enrichment layers that improve quality when present and degrade gracefully when absent. Modus is not dependent on any external platform to deliver value. For businesses without a centralised e-commerce platform, connection is available via CSV, spreadsheet, or ERP export.</w:t>
      </w:r>
    </w:p>
    <w:p>
      <w:pPr>
        <w:spacing w:after="80" w:before="0"/>
      </w:pPr>
      <w:r>
        <w:t xml:space="preserve"/>
      </w:r>
    </w:p>
    <w:p>
      <w:pPr>
        <w:spacing w:after="100" w:before="240"/>
      </w:pPr>
      <w:r>
        <w:rPr>
          <w:rFonts w:ascii="Arial" w:cs="Arial" w:eastAsia="Arial" w:hAnsi="Arial"/>
          <w:b/>
          <w:bCs/>
          <w:color w:val="000000"/>
          <w:sz w:val="26"/>
          <w:szCs w:val="26"/>
        </w:rPr>
        <w:t xml:space="preserve">2.2 The Four-Layer Pipeline</w:t>
      </w:r>
    </w:p>
    <w:p>
      <w:pPr>
        <w:pStyle w:val="ListParagraph"/>
        <w:numPr>
          <w:ilvl w:val="0"/>
          <w:numId w:val="2"/>
        </w:numPr>
        <w:spacing w:after="30" w:before="30"/>
      </w:pPr>
      <w:r>
        <w:rPr>
          <w:rFonts w:ascii="Arial" w:cs="Arial" w:eastAsia="Arial" w:hAnsi="Arial"/>
          <w:b/>
          <w:bCs/>
          <w:color w:val="111111"/>
          <w:sz w:val="21"/>
          <w:szCs w:val="21"/>
        </w:rPr>
        <w:t xml:space="preserve">Layer 1 — Ingest: </w:t>
      </w:r>
      <w:r>
        <w:rPr>
          <w:rFonts w:ascii="Arial" w:cs="Arial" w:eastAsia="Arial" w:hAnsi="Arial"/>
          <w:color w:val="111111"/>
          <w:sz w:val="21"/>
          <w:szCs w:val="21"/>
        </w:rPr>
        <w:t xml:space="preserve">Connects to Shopify, WooCommerce, BigCommerce, third-party tools, or direct data import. Normalises all inputs into a unified schema.</w:t>
      </w:r>
    </w:p>
    <w:p>
      <w:pPr>
        <w:pStyle w:val="ListParagraph"/>
        <w:numPr>
          <w:ilvl w:val="0"/>
          <w:numId w:val="2"/>
        </w:numPr>
        <w:spacing w:after="30" w:before="30"/>
      </w:pPr>
      <w:r>
        <w:rPr>
          <w:rFonts w:ascii="Arial" w:cs="Arial" w:eastAsia="Arial" w:hAnsi="Arial"/>
          <w:b/>
          <w:bCs/>
          <w:color w:val="111111"/>
          <w:sz w:val="21"/>
          <w:szCs w:val="21"/>
        </w:rPr>
        <w:t xml:space="preserve">Layer 2 — Process: </w:t>
      </w:r>
      <w:r>
        <w:rPr>
          <w:rFonts w:ascii="Arial" w:cs="Arial" w:eastAsia="Arial" w:hAnsi="Arial"/>
          <w:color w:val="111111"/>
          <w:sz w:val="21"/>
          <w:szCs w:val="21"/>
        </w:rPr>
        <w:t xml:space="preserve">Computes inventory health scores calibrated to stock type, customer segment affinity scores, seasonal indices, and logistics efficiency signals.</w:t>
      </w:r>
    </w:p>
    <w:p>
      <w:pPr>
        <w:pStyle w:val="ListParagraph"/>
        <w:numPr>
          <w:ilvl w:val="0"/>
          <w:numId w:val="2"/>
        </w:numPr>
        <w:spacing w:after="30" w:before="30"/>
      </w:pPr>
      <w:r>
        <w:rPr>
          <w:rFonts w:ascii="Arial" w:cs="Arial" w:eastAsia="Arial" w:hAnsi="Arial"/>
          <w:b/>
          <w:bCs/>
          <w:color w:val="111111"/>
          <w:sz w:val="21"/>
          <w:szCs w:val="21"/>
        </w:rPr>
        <w:t xml:space="preserve">Layer 3 — Synthesise: </w:t>
      </w:r>
      <w:r>
        <w:rPr>
          <w:rFonts w:ascii="Arial" w:cs="Arial" w:eastAsia="Arial" w:hAnsi="Arial"/>
          <w:color w:val="111111"/>
          <w:sz w:val="21"/>
          <w:szCs w:val="21"/>
        </w:rPr>
        <w:t xml:space="preserve">Passes structured signals to a large language model (Google Gemini or Anthropic Claude) for contextual reasoning. The LLM identifies non-obvious connections, weighs competing priorities, and generates recommendations with explicit, auditable reasoning chains.</w:t>
      </w:r>
    </w:p>
    <w:p>
      <w:pPr>
        <w:pStyle w:val="ListParagraph"/>
        <w:numPr>
          <w:ilvl w:val="0"/>
          <w:numId w:val="2"/>
        </w:numPr>
        <w:spacing w:after="30" w:before="30"/>
      </w:pPr>
      <w:r>
        <w:rPr>
          <w:rFonts w:ascii="Arial" w:cs="Arial" w:eastAsia="Arial" w:hAnsi="Arial"/>
          <w:b/>
          <w:bCs/>
          <w:color w:val="111111"/>
          <w:sz w:val="21"/>
          <w:szCs w:val="21"/>
        </w:rPr>
        <w:t xml:space="preserve">Layer 4 — Deliver: </w:t>
      </w:r>
      <w:r>
        <w:rPr>
          <w:rFonts w:ascii="Arial" w:cs="Arial" w:eastAsia="Arial" w:hAnsi="Arial"/>
          <w:color w:val="111111"/>
          <w:sz w:val="21"/>
          <w:szCs w:val="21"/>
        </w:rPr>
        <w:t xml:space="preserve">Surfaces recommendations as prioritised action cards in the Modus dashboard. Each card specifies the product, recommended action, target segment, projected impact, and reasoning summary. Merchant feedback is logged to refine future outputs.</w:t>
      </w:r>
    </w:p>
    <w:p>
      <w:pPr>
        <w:spacing w:after="80" w:before="0"/>
      </w:pPr>
      <w:r>
        <w:t xml:space="preserve"/>
      </w:r>
    </w:p>
    <w:p>
      <w:pPr>
        <w:spacing w:after="100" w:before="240"/>
      </w:pPr>
      <w:r>
        <w:rPr>
          <w:rFonts w:ascii="Arial" w:cs="Arial" w:eastAsia="Arial" w:hAnsi="Arial"/>
          <w:b/>
          <w:bCs/>
          <w:color w:val="000000"/>
          <w:sz w:val="26"/>
          <w:szCs w:val="26"/>
        </w:rPr>
        <w:t xml:space="preserve">2.3 Stock Type Intelligence</w:t>
      </w:r>
    </w:p>
    <w:p>
      <w:pPr>
        <w:spacing w:after="80" w:before="40"/>
      </w:pPr>
      <w:r>
        <w:rPr>
          <w:rFonts w:ascii="Arial" w:cs="Arial" w:eastAsia="Arial" w:hAnsi="Arial"/>
          <w:color w:val="111111"/>
          <w:sz w:val="21"/>
          <w:szCs w:val="21"/>
        </w:rPr>
        <w:t xml:space="preserve">A key differentiator is Modus's understanding of the nature of a merchant's inventory, configured at onboarding. Stock type dimensions include perishability, storage requirements (cold chain, hazardous handling), regulatory constraints (pharmaceutical, food compliance), and seasonal profile. This single configuration step calibrates all downstream logic — urgency thresholds, discount eligibility, bundling rules, promotion timing — to the actual reality of the business's inventory rather than applying generic rules uniformly. A florist and a furniture retailer have fundamentally different aging thresholds; Modus knows the difference. In Phase 2, this framework extends to manufacturing inputs: businesses that produce what they sell will be able to configure Bill of Materials structures, work-in-progress stages, batch and serial traceability requirements, yield and wastage thresholds, and raw material runway parameters. This expansion allows Modus to serve cosmetics brands, supplement manufacturers, electronics assemblers, food producers, and any operator with in-house or outsourced production — generating a new class of recommendation that no pure inventory or recommendation tool currently produces: start a production run of X now because you have 14 days of finished goods remaining and your raw material lead time is 21 days. Manufacturing onboarding is structured as a guided concierge process given the complexity of BOM mapping, with dedicated setup support included in the add-on pricing.</w:t>
      </w:r>
    </w:p>
    <w:p>
      <w:pPr>
        <w:spacing w:after="80" w:before="0"/>
      </w:pPr>
      <w:r>
        <w:t xml:space="preserve"/>
      </w:r>
    </w:p>
    <w:p>
      <w:pPr>
        <w:spacing w:after="100" w:before="240"/>
      </w:pPr>
      <w:r>
        <w:rPr>
          <w:rFonts w:ascii="Arial" w:cs="Arial" w:eastAsia="Arial" w:hAnsi="Arial"/>
          <w:b/>
          <w:bCs/>
          <w:color w:val="000000"/>
          <w:sz w:val="26"/>
          <w:szCs w:val="26"/>
        </w:rPr>
        <w:t xml:space="preserve">2.4 Key Constraints Addressed</w:t>
      </w:r>
    </w:p>
    <w:p>
      <w:pPr>
        <w:pStyle w:val="ListParagraph"/>
        <w:numPr>
          <w:ilvl w:val="0"/>
          <w:numId w:val="2"/>
        </w:numPr>
        <w:spacing w:after="30" w:before="30"/>
      </w:pPr>
      <w:r>
        <w:rPr>
          <w:rFonts w:ascii="Arial" w:cs="Arial" w:eastAsia="Arial" w:hAnsi="Arial"/>
          <w:b/>
          <w:bCs/>
          <w:color w:val="111111"/>
          <w:sz w:val="21"/>
          <w:szCs w:val="21"/>
        </w:rPr>
        <w:t xml:space="preserve">Cold start: </w:t>
      </w:r>
      <w:r>
        <w:rPr>
          <w:rFonts w:ascii="Arial" w:cs="Arial" w:eastAsia="Arial" w:hAnsi="Arial"/>
          <w:color w:val="111111"/>
          <w:sz w:val="21"/>
          <w:szCs w:val="21"/>
        </w:rPr>
        <w:t xml:space="preserve">New businesses receive rule-based recommendations from native data and category benchmarks. The system graduates automatically to full LLM synthesis as data accumulates — no merchant configuration required.</w:t>
      </w:r>
    </w:p>
    <w:p>
      <w:pPr>
        <w:pStyle w:val="ListParagraph"/>
        <w:numPr>
          <w:ilvl w:val="0"/>
          <w:numId w:val="2"/>
        </w:numPr>
        <w:spacing w:after="30" w:before="30"/>
      </w:pPr>
      <w:r>
        <w:rPr>
          <w:rFonts w:ascii="Arial" w:cs="Arial" w:eastAsia="Arial" w:hAnsi="Arial"/>
          <w:b/>
          <w:bCs/>
          <w:color w:val="111111"/>
          <w:sz w:val="21"/>
          <w:szCs w:val="21"/>
        </w:rPr>
        <w:t xml:space="preserve">LLM reliability: </w:t>
      </w:r>
      <w:r>
        <w:rPr>
          <w:rFonts w:ascii="Arial" w:cs="Arial" w:eastAsia="Arial" w:hAnsi="Arial"/>
          <w:color w:val="111111"/>
          <w:sz w:val="21"/>
          <w:szCs w:val="21"/>
        </w:rPr>
        <w:t xml:space="preserve">All outputs are validated against business logic guardrails before delivery. Recommendations referencing out-of-stock products, negative-margin actions, or regulatory violations are suppressed or flagged. Every recommendation surfaces its reasoning chain so merchants can validate before acting.</w:t>
      </w:r>
    </w:p>
    <w:p>
      <w:pPr>
        <w:pStyle w:val="ListParagraph"/>
        <w:numPr>
          <w:ilvl w:val="0"/>
          <w:numId w:val="2"/>
        </w:numPr>
        <w:spacing w:after="30" w:before="30"/>
      </w:pPr>
      <w:r>
        <w:rPr>
          <w:rFonts w:ascii="Arial" w:cs="Arial" w:eastAsia="Arial" w:hAnsi="Arial"/>
          <w:b/>
          <w:bCs/>
          <w:color w:val="111111"/>
          <w:sz w:val="21"/>
          <w:szCs w:val="21"/>
        </w:rPr>
        <w:t xml:space="preserve">Third-party dependency: </w:t>
      </w:r>
      <w:r>
        <w:rPr>
          <w:rFonts w:ascii="Arial" w:cs="Arial" w:eastAsia="Arial" w:hAnsi="Arial"/>
          <w:color w:val="111111"/>
          <w:sz w:val="21"/>
          <w:szCs w:val="21"/>
        </w:rPr>
        <w:t xml:space="preserve">Integrations are enrichment modules. When one becomes unavailable, its signal stream is marked inactive and quality adjusts accordingly. No integration failure causes platform downtime.</w:t>
      </w:r>
    </w:p>
    <w:p>
      <w:pPr>
        <w:pStyle w:val="ListParagraph"/>
        <w:numPr>
          <w:ilvl w:val="0"/>
          <w:numId w:val="2"/>
        </w:numPr>
        <w:spacing w:after="30" w:before="30"/>
      </w:pPr>
      <w:r>
        <w:rPr>
          <w:rFonts w:ascii="Arial" w:cs="Arial" w:eastAsia="Arial" w:hAnsi="Arial"/>
          <w:b/>
          <w:bCs/>
          <w:color w:val="111111"/>
          <w:sz w:val="21"/>
          <w:szCs w:val="21"/>
        </w:rPr>
        <w:t xml:space="preserve">Data privacy: </w:t>
      </w:r>
      <w:r>
        <w:rPr>
          <w:rFonts w:ascii="Arial" w:cs="Arial" w:eastAsia="Arial" w:hAnsi="Arial"/>
          <w:color w:val="111111"/>
          <w:sz w:val="21"/>
          <w:szCs w:val="21"/>
        </w:rPr>
        <w:t xml:space="preserve">Merchant data is processed under strict isolation. Datasets are never used to train shared models. API credentials are encrypted at rest. GDPR-compliant from inception with merchant-accessible deletion controls.</w:t>
      </w:r>
    </w:p>
    <w:p>
      <w:pPr>
        <w:pStyle w:val="ListParagraph"/>
        <w:numPr>
          <w:ilvl w:val="0"/>
          <w:numId w:val="2"/>
        </w:numPr>
        <w:spacing w:after="30" w:before="30"/>
      </w:pPr>
      <w:r>
        <w:rPr>
          <w:rFonts w:ascii="Arial" w:cs="Arial" w:eastAsia="Arial" w:hAnsi="Arial"/>
          <w:b/>
          <w:bCs/>
          <w:color w:val="111111"/>
          <w:sz w:val="21"/>
          <w:szCs w:val="21"/>
        </w:rPr>
        <w:t xml:space="preserve">Competitive nuance: </w:t>
      </w:r>
      <w:r>
        <w:rPr>
          <w:rFonts w:ascii="Arial" w:cs="Arial" w:eastAsia="Arial" w:hAnsi="Arial"/>
          <w:color w:val="111111"/>
          <w:sz w:val="21"/>
          <w:szCs w:val="21"/>
        </w:rPr>
        <w:t xml:space="preserve">Modus is complementary to existing tools when present — using their outputs as enrichment signals — and a partial substitute for their reporting functions when absent. This dual positioning means Modus delivers value across the full spectrum of merchant sophistication, from those with a full tool stack to those with none.</w:t>
      </w:r>
    </w:p>
    <w:p>
      <w:r>
        <w:br w:type="page"/>
      </w:r>
    </w:p>
    <w:p>
      <w:pPr>
        <w:spacing w:after="140" w:before="360"/>
      </w:pPr>
      <w:r>
        <w:rPr>
          <w:rFonts w:ascii="Arial" w:cs="Arial" w:eastAsia="Arial" w:hAnsi="Arial"/>
          <w:b/>
          <w:bCs/>
          <w:color w:val="000000"/>
          <w:sz w:val="36"/>
          <w:szCs w:val="36"/>
        </w:rPr>
        <w:t xml:space="preserve">3. Business Model &amp; Feasibility</w:t>
      </w:r>
    </w:p>
    <w:p>
      <w:pPr>
        <w:spacing w:after="100" w:before="240"/>
      </w:pPr>
      <w:r>
        <w:rPr>
          <w:rFonts w:ascii="Arial" w:cs="Arial" w:eastAsia="Arial" w:hAnsi="Arial"/>
          <w:b/>
          <w:bCs/>
          <w:color w:val="000000"/>
          <w:sz w:val="26"/>
          <w:szCs w:val="26"/>
        </w:rPr>
        <w:t xml:space="preserve">3.1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2190"/>
        <w:gridCol w:w="2190"/>
        <w:gridCol w:w="2380"/>
      </w:tblGrid>
      <w:tr>
        <w:tc>
          <w:tcPr>
            <w:tcW w:type="dxa" w:w="130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b/>
                <w:bCs/>
                <w:color w:val="000000"/>
                <w:sz w:val="19"/>
                <w:szCs w:val="19"/>
              </w:rPr>
              <w:t xml:space="preserve">Tier</w:t>
            </w:r>
          </w:p>
        </w:tc>
        <w:tc>
          <w:tcPr>
            <w:tcW w:type="dxa" w:w="130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b/>
                <w:bCs/>
                <w:color w:val="000000"/>
                <w:sz w:val="19"/>
                <w:szCs w:val="19"/>
              </w:rPr>
              <w:t xml:space="preserve">Price</w:t>
            </w:r>
          </w:p>
        </w:tc>
        <w:tc>
          <w:tcPr>
            <w:tcW w:type="dxa" w:w="219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b/>
                <w:bCs/>
                <w:color w:val="000000"/>
                <w:sz w:val="19"/>
                <w:szCs w:val="19"/>
              </w:rPr>
              <w:t xml:space="preserve">Target Business</w:t>
            </w:r>
          </w:p>
        </w:tc>
        <w:tc>
          <w:tcPr>
            <w:tcW w:type="dxa" w:w="219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b/>
                <w:bCs/>
                <w:color w:val="000000"/>
                <w:sz w:val="19"/>
                <w:szCs w:val="19"/>
              </w:rPr>
              <w:t xml:space="preserve">Monthly Revenue</w:t>
            </w:r>
          </w:p>
        </w:tc>
        <w:tc>
          <w:tcPr>
            <w:tcW w:type="dxa" w:w="238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b/>
                <w:bCs/>
                <w:color w:val="000000"/>
                <w:sz w:val="19"/>
                <w:szCs w:val="19"/>
              </w:rPr>
              <w:t xml:space="preserve">Key Capabilities</w:t>
            </w:r>
          </w:p>
        </w:tc>
      </w:tr>
      <w:tr>
        <w:tc>
          <w:tcPr>
            <w:tcW w:type="dxa" w:w="130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Starter</w:t>
            </w:r>
          </w:p>
        </w:tc>
        <w:tc>
          <w:tcPr>
            <w:tcW w:type="dxa" w:w="130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Free</w:t>
            </w:r>
          </w:p>
        </w:tc>
        <w:tc>
          <w:tcPr>
            <w:tcW w:type="dxa" w:w="219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New operators, under 1 year</w:t>
            </w:r>
          </w:p>
        </w:tc>
        <w:tc>
          <w:tcPr>
            <w:tcW w:type="dxa" w:w="219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Under $10k</w:t>
            </w:r>
          </w:p>
        </w:tc>
        <w:tc>
          <w:tcPr>
            <w:tcW w:type="dxa" w:w="238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Native data, 5 recommendations/week</w:t>
            </w:r>
          </w:p>
        </w:tc>
      </w:tr>
      <w:tr>
        <w:tc>
          <w:tcPr>
            <w:tcW w:type="dxa" w:w="130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Growth</w:t>
            </w:r>
          </w:p>
        </w:tc>
        <w:tc>
          <w:tcPr>
            <w:tcW w:type="dxa" w:w="130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$49/mo</w:t>
            </w:r>
          </w:p>
        </w:tc>
        <w:tc>
          <w:tcPr>
            <w:tcW w:type="dxa" w:w="219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Established SMBs, 1-3 years</w:t>
            </w:r>
          </w:p>
        </w:tc>
        <w:tc>
          <w:tcPr>
            <w:tcW w:type="dxa" w:w="219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$10k - $80k</w:t>
            </w:r>
          </w:p>
        </w:tc>
        <w:tc>
          <w:tcPr>
            <w:tcW w:type="dxa" w:w="238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Up to 3 integrations, unlimited recommendations</w:t>
            </w:r>
          </w:p>
        </w:tc>
      </w:tr>
      <w:tr>
        <w:tc>
          <w:tcPr>
            <w:tcW w:type="dxa" w:w="130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Pro</w:t>
            </w:r>
          </w:p>
        </w:tc>
        <w:tc>
          <w:tcPr>
            <w:tcW w:type="dxa" w:w="130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$99/mo</w:t>
            </w:r>
          </w:p>
        </w:tc>
        <w:tc>
          <w:tcPr>
            <w:tcW w:type="dxa" w:w="219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Scaling businesses, 3-5+ years</w:t>
            </w:r>
          </w:p>
        </w:tc>
        <w:tc>
          <w:tcPr>
            <w:tcW w:type="dxa" w:w="219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$80k - $500k</w:t>
            </w:r>
          </w:p>
        </w:tc>
        <w:tc>
          <w:tcPr>
            <w:tcW w:type="dxa" w:w="238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Full integration stack, advanced analytics</w:t>
            </w:r>
          </w:p>
        </w:tc>
      </w:tr>
      <w:tr>
        <w:tc>
          <w:tcPr>
            <w:tcW w:type="dxa" w:w="130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Enterprise</w:t>
            </w:r>
          </w:p>
        </w:tc>
        <w:tc>
          <w:tcPr>
            <w:tcW w:type="dxa" w:w="130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Custom</w:t>
            </w:r>
          </w:p>
        </w:tc>
        <w:tc>
          <w:tcPr>
            <w:tcW w:type="dxa" w:w="219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Large operators, complex infrastructure</w:t>
            </w:r>
          </w:p>
        </w:tc>
        <w:tc>
          <w:tcPr>
            <w:tcW w:type="dxa" w:w="219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$500k+</w:t>
            </w:r>
          </w:p>
        </w:tc>
        <w:tc>
          <w:tcPr>
            <w:tcW w:type="dxa" w:w="238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Custom integrations, SLAs, dedicated support</w:t>
            </w:r>
          </w:p>
        </w:tc>
      </w:tr>
      <w:tr>
        <w:tc>
          <w:tcPr>
            <w:tcW w:type="dxa" w:w="130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Manufacturing Add-on</w:t>
            </w:r>
          </w:p>
        </w:tc>
        <w:tc>
          <w:tcPr>
            <w:tcW w:type="dxa" w:w="130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+$79/mo</w:t>
            </w:r>
          </w:p>
        </w:tc>
        <w:tc>
          <w:tcPr>
            <w:tcW w:type="dxa" w:w="219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Add-on for Growth or Pro — Phase 2</w:t>
            </w:r>
          </w:p>
        </w:tc>
        <w:tc>
          <w:tcPr>
            <w:tcW w:type="dxa" w:w="219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Any</w:t>
            </w:r>
          </w:p>
        </w:tc>
        <w:tc>
          <w:tcPr>
            <w:tcW w:type="dxa" w:w="238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BOM tracking, WIP status, batch traceability, production run recommendations, guided onboarding</w:t>
            </w:r>
          </w:p>
        </w:tc>
      </w:tr>
    </w:tbl>
    <w:p>
      <w:pPr>
        <w:spacing w:after="80" w:before="0"/>
      </w:pPr>
      <w:r>
        <w:t xml:space="preserve"/>
      </w:r>
    </w:p>
    <w:p>
      <w:pPr>
        <w:spacing w:after="80" w:before="40"/>
      </w:pPr>
      <w:r>
        <w:rPr>
          <w:rFonts w:ascii="Arial" w:cs="Arial" w:eastAsia="Arial" w:hAnsi="Arial"/>
          <w:color w:val="111111"/>
          <w:sz w:val="21"/>
          <w:szCs w:val="21"/>
        </w:rPr>
        <w:t xml:space="preserve">The Manufacturing Add-on, launching in Phase 2, is available on top of any Growth or Pro subscription at +$79 per month. It targets brands with in-house or outsourced production — cosmetics, supplements, food, electronics, furniture, and any vertical with FDA or compliance-driven batch tracking requirements. The add-on includes a structured concierge onboarding process covering BOM configuration, production stage mapping, and traceability setup, reflecting the genuine complexity of manufacturing data structures relative to standard inventory onboarding. This is not a feature bolt-on — it is a distinct capability layer that expands Modus's addressable market to the full population of product-based businesses, not just those that buy and resell.</w:t>
      </w:r>
    </w:p>
    <w:p>
      <w:pPr>
        <w:spacing w:after="100" w:before="240"/>
      </w:pPr>
      <w:r>
        <w:rPr>
          <w:rFonts w:ascii="Arial" w:cs="Arial" w:eastAsia="Arial" w:hAnsi="Arial"/>
          <w:b/>
          <w:bCs/>
          <w:color w:val="000000"/>
          <w:sz w:val="26"/>
          <w:szCs w:val="26"/>
        </w:rPr>
        <w:t xml:space="preserve">3.2 Development &amp; Infrastructure Costs</w:t>
      </w:r>
    </w:p>
    <w:p>
      <w:pPr>
        <w:spacing w:after="80" w:before="40"/>
      </w:pPr>
      <w:r>
        <w:rPr>
          <w:rFonts w:ascii="Arial" w:cs="Arial" w:eastAsia="Arial" w:hAnsi="Arial"/>
          <w:color w:val="111111"/>
          <w:sz w:val="21"/>
          <w:szCs w:val="21"/>
        </w:rPr>
        <w:t xml:space="preserve">A lean two-to-three person founding team can deliver an MVP within four to six months. Estimated pre-launch development costs range from $40,000 to $80,000, covering engineering time, tooling, and initial infrastructure. The most significant ongoing cost specific to an AI product is LLM API usage. Each synthesis call costs approximately $0.01 to $0.04 at current pricing. At 1,000 active merchants each triggering 20 synthesis cycles per month, monthly LLM costs are estimated at $200 to $800 — scaling sub-linearly as prompt optimisation and caching mature. Cloud hosting and integration infrastructure add $500 to $2,000 per month at early scale.</w:t>
      </w:r>
    </w:p>
    <w:p>
      <w:pPr>
        <w:spacing w:after="80" w:before="0"/>
      </w:pPr>
      <w:r>
        <w:t xml:space="preserve"/>
      </w:r>
    </w:p>
    <w:p>
      <w:pPr>
        <w:spacing w:after="100" w:before="240"/>
      </w:pPr>
      <w:r>
        <w:rPr>
          <w:rFonts w:ascii="Arial" w:cs="Arial" w:eastAsia="Arial" w:hAnsi="Arial"/>
          <w:b/>
          <w:bCs/>
          <w:color w:val="000000"/>
          <w:sz w:val="26"/>
          <w:szCs w:val="26"/>
        </w:rPr>
        <w:t xml:space="preserve">3.3 Revenue Projections &amp; Path to Break-Even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b/>
                <w:bCs/>
                <w:color w:val="000000"/>
                <w:sz w:val="19"/>
                <w:szCs w:val="19"/>
              </w:rPr>
              <w:t xml:space="preserve">Scenario</w:t>
            </w:r>
          </w:p>
        </w:tc>
        <w:tc>
          <w:tcPr>
            <w:tcW w:type="dxa" w:w="234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b/>
                <w:bCs/>
                <w:color w:val="000000"/>
                <w:sz w:val="19"/>
                <w:szCs w:val="19"/>
              </w:rPr>
              <w:t xml:space="preserve">Paying Merchants</w:t>
            </w:r>
          </w:p>
        </w:tc>
        <w:tc>
          <w:tcPr>
            <w:tcW w:type="dxa" w:w="234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b/>
                <w:bCs/>
                <w:color w:val="000000"/>
                <w:sz w:val="19"/>
                <w:szCs w:val="19"/>
              </w:rPr>
              <w:t xml:space="preserve">Avg. MRR / Merchant</w:t>
            </w:r>
          </w:p>
        </w:tc>
        <w:tc>
          <w:tcPr>
            <w:tcW w:type="dxa" w:w="234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b/>
                <w:bCs/>
                <w:color w:val="000000"/>
                <w:sz w:val="19"/>
                <w:szCs w:val="19"/>
              </w:rPr>
              <w:t xml:space="preserve">ARR</w:t>
            </w:r>
          </w:p>
        </w:tc>
      </w:tr>
      <w:tr>
        <w:tc>
          <w:tcPr>
            <w:tcW w:type="dxa" w:w="234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Conservative (Year 1)</w:t>
            </w:r>
          </w:p>
        </w:tc>
        <w:tc>
          <w:tcPr>
            <w:tcW w:type="dxa" w:w="234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200</w:t>
            </w:r>
          </w:p>
        </w:tc>
        <w:tc>
          <w:tcPr>
            <w:tcW w:type="dxa" w:w="234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$65</w:t>
            </w:r>
          </w:p>
        </w:tc>
        <w:tc>
          <w:tcPr>
            <w:tcW w:type="dxa" w:w="234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$156,000</w:t>
            </w:r>
          </w:p>
        </w:tc>
      </w:tr>
      <w:tr>
        <w:tc>
          <w:tcPr>
            <w:tcW w:type="dxa" w:w="234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Base (Year 2)</w:t>
            </w:r>
          </w:p>
        </w:tc>
        <w:tc>
          <w:tcPr>
            <w:tcW w:type="dxa" w:w="234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800</w:t>
            </w:r>
          </w:p>
        </w:tc>
        <w:tc>
          <w:tcPr>
            <w:tcW w:type="dxa" w:w="234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$72</w:t>
            </w:r>
          </w:p>
        </w:tc>
        <w:tc>
          <w:tcPr>
            <w:tcW w:type="dxa" w:w="234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$691,200</w:t>
            </w:r>
          </w:p>
        </w:tc>
      </w:tr>
      <w:tr>
        <w:tc>
          <w:tcPr>
            <w:tcW w:type="dxa" w:w="234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Optimistic (Year 3)</w:t>
            </w:r>
          </w:p>
        </w:tc>
        <w:tc>
          <w:tcPr>
            <w:tcW w:type="dxa" w:w="234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2,500</w:t>
            </w:r>
          </w:p>
        </w:tc>
        <w:tc>
          <w:tcPr>
            <w:tcW w:type="dxa" w:w="234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$80</w:t>
            </w:r>
          </w:p>
        </w:tc>
        <w:tc>
          <w:tcPr>
            <w:tcW w:type="dxa" w:w="2340"/>
            <w:tcBorders>
              <w:top w:val="single" w:color="000000" w:sz="1"/>
              <w:left w:val="single" w:color="000000" w:sz="1"/>
              <w:bottom w:val="single" w:color="000000" w:sz="1"/>
              <w:right w:val="single" w:color="000000" w:sz="1"/>
            </w:tcBorders>
            <w:tcMar>
              <w:top w:type="dxa" w:w="70"/>
              <w:left w:type="dxa" w:w="100"/>
              <w:bottom w:type="dxa" w:w="70"/>
              <w:right w:type="dxa" w:w="100"/>
            </w:tcMar>
          </w:tcPr>
          <w:p>
            <w:r>
              <w:rPr>
                <w:rFonts w:ascii="Arial" w:cs="Arial" w:eastAsia="Arial" w:hAnsi="Arial"/>
                <w:color w:val="111111"/>
                <w:sz w:val="19"/>
                <w:szCs w:val="19"/>
              </w:rPr>
              <w:t xml:space="preserve">$2,400,000</w:t>
            </w:r>
          </w:p>
        </w:tc>
      </w:tr>
    </w:tbl>
    <w:p>
      <w:pPr>
        <w:spacing w:after="80" w:before="0"/>
      </w:pPr>
      <w:r>
        <w:t xml:space="preserve"/>
      </w:r>
    </w:p>
    <w:p>
      <w:pPr>
        <w:spacing w:after="80" w:before="40"/>
      </w:pPr>
      <w:r>
        <w:rPr>
          <w:rFonts w:ascii="Arial" w:cs="Arial" w:eastAsia="Arial" w:hAnsi="Arial"/>
          <w:color w:val="111111"/>
          <w:sz w:val="21"/>
          <w:szCs w:val="21"/>
        </w:rPr>
        <w:t xml:space="preserve">The path to 200 paying merchants is modelled as follows: the Shopify App Store hosts over 1.7 million active stores. Capturing 0.05 percent as paying subscribers requires 850 installs, assuming a 25 percent Starter-to-paid conversion rate. At a realistic organic install rate of 150 to 300 per month for a well-optimised listing, this target is achievable within 6 to 9 months of launch. Non-Shopify acquisition via direct outreach and content marketing is treated as incremental upside. Break-even on total development investment is projected at 18 to 24 months post-launch, reflecting a two-person founding team operating without a dedicated sales function in year one.</w:t>
      </w:r>
    </w:p>
    <w:p>
      <w:pPr>
        <w:spacing w:after="80" w:before="0"/>
      </w:pPr>
      <w:r>
        <w:t xml:space="preserve"/>
      </w:r>
    </w:p>
    <w:p>
      <w:pPr>
        <w:spacing w:after="100" w:before="240"/>
      </w:pPr>
      <w:r>
        <w:rPr>
          <w:rFonts w:ascii="Arial" w:cs="Arial" w:eastAsia="Arial" w:hAnsi="Arial"/>
          <w:b/>
          <w:bCs/>
          <w:color w:val="000000"/>
          <w:sz w:val="26"/>
          <w:szCs w:val="26"/>
        </w:rPr>
        <w:t xml:space="preserve">3.4 Merchant Acquisition — First 200</w:t>
      </w:r>
    </w:p>
    <w:p>
      <w:pPr>
        <w:spacing w:after="60" w:before="160"/>
      </w:pPr>
      <w:r>
        <w:rPr>
          <w:rFonts w:ascii="Arial" w:cs="Arial" w:eastAsia="Arial" w:hAnsi="Arial"/>
          <w:b/>
          <w:bCs/>
          <w:color w:val="000000"/>
          <w:sz w:val="22"/>
          <w:szCs w:val="22"/>
        </w:rPr>
        <w:t xml:space="preserve">First 10: Direct Manual Outreach</w:t>
      </w:r>
    </w:p>
    <w:p>
      <w:pPr>
        <w:spacing w:after="80" w:before="40"/>
      </w:pPr>
      <w:r>
        <w:rPr>
          <w:rFonts w:ascii="Arial" w:cs="Arial" w:eastAsia="Arial" w:hAnsi="Arial"/>
          <w:color w:val="111111"/>
          <w:sz w:val="21"/>
          <w:szCs w:val="21"/>
        </w:rPr>
        <w:t xml:space="preserve">The first users will not come from any channel — they will be found by hand. Shopify merchant communities on Reddit (r/shopify, r/ecommerce), Facebook Groups, and industry forums are full of operators openly discussing inventory pain. Direct outreach framed as an invitation to beta test in exchange for feedback, not a sales pitch, targets merchants already experiencing the problem. These first users are not revenue — they are proof of concept, case studies, and the raw material for App Store copy.</w:t>
      </w:r>
    </w:p>
    <w:p>
      <w:pPr>
        <w:spacing w:after="60" w:before="160"/>
      </w:pPr>
      <w:r>
        <w:rPr>
          <w:rFonts w:ascii="Arial" w:cs="Arial" w:eastAsia="Arial" w:hAnsi="Arial"/>
          <w:b/>
          <w:bCs/>
          <w:color w:val="000000"/>
          <w:sz w:val="22"/>
          <w:szCs w:val="22"/>
        </w:rPr>
        <w:t xml:space="preserve">10 to 50: Beta Programme and Community Moments</w:t>
      </w:r>
    </w:p>
    <w:p>
      <w:pPr>
        <w:spacing w:after="80" w:before="40"/>
      </w:pPr>
      <w:r>
        <w:rPr>
          <w:rFonts w:ascii="Arial" w:cs="Arial" w:eastAsia="Arial" w:hAnsi="Arial"/>
          <w:color w:val="111111"/>
          <w:sz w:val="21"/>
          <w:szCs w:val="21"/>
        </w:rPr>
        <w:t xml:space="preserve">A structured founding member beta — three months free in exchange for onboarding calls, weekly check-ins, and a testimonial if results are positive — builds a cohort of invested early advocates. A Product Hunt launch targeting the Shopify merchant and e-commerce operator audience can generate 500 to 2,000 profile visits in 24 hours, converting a meaningful slice to installs. Outreach to Shopify-adjacent newsletter writers, podcasters, and YouTubers with merchant audiences provides leverage disproportionate to effort at this stage.</w:t>
      </w:r>
    </w:p>
    <w:p>
      <w:pPr>
        <w:spacing w:after="60" w:before="160"/>
      </w:pPr>
      <w:r>
        <w:rPr>
          <w:rFonts w:ascii="Arial" w:cs="Arial" w:eastAsia="Arial" w:hAnsi="Arial"/>
          <w:b/>
          <w:bCs/>
          <w:color w:val="000000"/>
          <w:sz w:val="22"/>
          <w:szCs w:val="22"/>
        </w:rPr>
        <w:t xml:space="preserve">50 to 200: App Store Compounding</w:t>
      </w:r>
    </w:p>
    <w:p>
      <w:pPr>
        <w:spacing w:after="80" w:before="40"/>
      </w:pPr>
      <w:r>
        <w:rPr>
          <w:rFonts w:ascii="Arial" w:cs="Arial" w:eastAsia="Arial" w:hAnsi="Arial"/>
          <w:color w:val="111111"/>
          <w:sz w:val="21"/>
          <w:szCs w:val="21"/>
        </w:rPr>
        <w:t xml:space="preserve">With 50 active users and a growing review base, the Shopify App Store listing begins to rank organically for relevant search terms. App Store listing optimisation — plain-language copy addressing the merchant's pain directly, strong screenshots, and consistent review velocity — drives compounding organic installs. Integration partner co-marketing with LimeSpot or Klaviyo, framed as joint value to shared customers, extends reach into established merchant bases.</w:t>
      </w:r>
    </w:p>
    <w:p>
      <w:pPr>
        <w:spacing w:after="80" w:before="0"/>
      </w:pPr>
      <w:r>
        <w:t xml:space="preserve"/>
      </w:r>
    </w:p>
    <w:p>
      <w:pPr>
        <w:spacing w:after="100" w:before="240"/>
      </w:pPr>
      <w:r>
        <w:rPr>
          <w:rFonts w:ascii="Arial" w:cs="Arial" w:eastAsia="Arial" w:hAnsi="Arial"/>
          <w:b/>
          <w:bCs/>
          <w:color w:val="000000"/>
          <w:sz w:val="26"/>
          <w:szCs w:val="26"/>
        </w:rPr>
        <w:t xml:space="preserve">3.5 Funding Strategy</w:t>
      </w:r>
    </w:p>
    <w:p>
      <w:pPr>
        <w:pStyle w:val="ListParagraph"/>
        <w:numPr>
          <w:ilvl w:val="0"/>
          <w:numId w:val="2"/>
        </w:numPr>
        <w:spacing w:after="30" w:before="30"/>
      </w:pPr>
      <w:r>
        <w:rPr>
          <w:rFonts w:ascii="Arial" w:cs="Arial" w:eastAsia="Arial" w:hAnsi="Arial"/>
          <w:b/>
          <w:bCs/>
          <w:color w:val="111111"/>
          <w:sz w:val="21"/>
          <w:szCs w:val="21"/>
        </w:rPr>
        <w:t xml:space="preserve">Phase 1 — Non-dilutive (Pre-launch): </w:t>
      </w:r>
      <w:r>
        <w:rPr>
          <w:rFonts w:ascii="Arial" w:cs="Arial" w:eastAsia="Arial" w:hAnsi="Arial"/>
          <w:color w:val="111111"/>
          <w:sz w:val="21"/>
          <w:szCs w:val="21"/>
        </w:rPr>
        <w:t xml:space="preserve">Startup grants, innovation competitions, and student founder programmes provide early capital without equity sacrifice. Winning or placing in competitions such as this one directly strengthens subsequent funding applications.</w:t>
      </w:r>
    </w:p>
    <w:p>
      <w:pPr>
        <w:pStyle w:val="ListParagraph"/>
        <w:numPr>
          <w:ilvl w:val="0"/>
          <w:numId w:val="2"/>
        </w:numPr>
        <w:spacing w:after="30" w:before="30"/>
      </w:pPr>
      <w:r>
        <w:rPr>
          <w:rFonts w:ascii="Arial" w:cs="Arial" w:eastAsia="Arial" w:hAnsi="Arial"/>
          <w:b/>
          <w:bCs/>
          <w:color w:val="111111"/>
          <w:sz w:val="21"/>
          <w:szCs w:val="21"/>
        </w:rPr>
        <w:t xml:space="preserve">Phase 2 — Accelerator (Beta stage): </w:t>
      </w:r>
      <w:r>
        <w:rPr>
          <w:rFonts w:ascii="Arial" w:cs="Arial" w:eastAsia="Arial" w:hAnsi="Arial"/>
          <w:color w:val="111111"/>
          <w:sz w:val="21"/>
          <w:szCs w:val="21"/>
        </w:rPr>
        <w:t xml:space="preserve">Primary target is Y Combinator, which invests $500,000 for 7 percent equity, provides intensive three-month mentorship, and culminates in a Demo Day with concentrated seed investor access. YC has an explicit AI SaaS mandate. European equivalents including Entrepreneur First and Seedcamp are parallel targets.</w:t>
      </w:r>
    </w:p>
    <w:p>
      <w:pPr>
        <w:pStyle w:val="ListParagraph"/>
        <w:numPr>
          <w:ilvl w:val="0"/>
          <w:numId w:val="2"/>
        </w:numPr>
        <w:spacing w:after="30" w:before="30"/>
      </w:pPr>
      <w:r>
        <w:rPr>
          <w:rFonts w:ascii="Arial" w:cs="Arial" w:eastAsia="Arial" w:hAnsi="Arial"/>
          <w:b/>
          <w:bCs/>
          <w:color w:val="111111"/>
          <w:sz w:val="21"/>
          <w:szCs w:val="21"/>
        </w:rPr>
        <w:t xml:space="preserve">Phase 3 — Seed round (Post-traction): </w:t>
      </w:r>
      <w:r>
        <w:rPr>
          <w:rFonts w:ascii="Arial" w:cs="Arial" w:eastAsia="Arial" w:hAnsi="Arial"/>
          <w:color w:val="111111"/>
          <w:sz w:val="21"/>
          <w:szCs w:val="21"/>
        </w:rPr>
        <w:t xml:space="preserve">Following 50 to 100 paying merchants and consistent MRR, Modus raises a seed round from AI and commerce-focused venture capital. Early AI SaaS seed rounds in the current market range from $1 million to $5 million, providing 18 to 24 months of runway for team growth, marketing, and platform expansion.</w:t>
      </w:r>
    </w:p>
    <w:p>
      <w:pPr>
        <w:spacing w:after="80" w:before="0"/>
      </w:pPr>
      <w:r>
        <w:t xml:space="preserve"/>
      </w:r>
    </w:p>
    <w:p>
      <w:pPr>
        <w:spacing w:after="100" w:before="240"/>
      </w:pPr>
      <w:r>
        <w:rPr>
          <w:rFonts w:ascii="Arial" w:cs="Arial" w:eastAsia="Arial" w:hAnsi="Arial"/>
          <w:b/>
          <w:bCs/>
          <w:color w:val="000000"/>
          <w:sz w:val="26"/>
          <w:szCs w:val="26"/>
        </w:rPr>
        <w:t xml:space="preserve">3.6 Go-To-Market &amp; Competitive Positioning</w:t>
      </w:r>
    </w:p>
    <w:p>
      <w:pPr>
        <w:spacing w:after="80" w:before="40"/>
      </w:pPr>
      <w:r>
        <w:rPr>
          <w:rFonts w:ascii="Arial" w:cs="Arial" w:eastAsia="Arial" w:hAnsi="Arial"/>
          <w:color w:val="111111"/>
          <w:sz w:val="21"/>
          <w:szCs w:val="21"/>
        </w:rPr>
        <w:t xml:space="preserve">Modus launches within the Shopify ecosystem as its first vertical. Shopify provides the highest merchant density, the most standardised API, and a built-in distribution channel through the App Store — reducing integration complexity and time to first value. This is deliberate sequencing: WooCommerce, BigCommerce, and direct API onboarding follow once the core product is validated. Shopify's Stocky discontinuation creates an immediate and timely window.</w:t>
      </w:r>
    </w:p>
    <w:p>
      <w:pPr>
        <w:spacing w:after="80" w:before="40"/>
      </w:pPr>
      <w:r>
        <w:rPr>
          <w:rFonts w:ascii="Arial" w:cs="Arial" w:eastAsia="Arial" w:hAnsi="Arial"/>
          <w:color w:val="111111"/>
          <w:sz w:val="21"/>
          <w:szCs w:val="21"/>
        </w:rPr>
        <w:t xml:space="preserve">Modus does not position against inventory tools or recommendation engines. It occupies the intelligence synthesis layer above them — a category that does not currently exist as a standalone product. This framing reduces competitive friction and creates natural partnership opportunities with the very tools whose signals Modus ingests.</w:t>
      </w:r>
    </w:p>
    <w:p>
      <w:pPr>
        <w:spacing w:after="80" w:before="0"/>
      </w:pPr>
      <w:r>
        <w:t xml:space="preserve"/>
      </w:r>
    </w:p>
    <w:p>
      <w:pPr>
        <w:spacing w:after="100" w:before="240"/>
      </w:pPr>
      <w:r>
        <w:rPr>
          <w:rFonts w:ascii="Arial" w:cs="Arial" w:eastAsia="Arial" w:hAnsi="Arial"/>
          <w:b/>
          <w:bCs/>
          <w:color w:val="000000"/>
          <w:sz w:val="26"/>
          <w:szCs w:val="26"/>
        </w:rPr>
        <w:t xml:space="preserve">3.7 Scalability &amp; Long-Term Vision</w:t>
      </w:r>
    </w:p>
    <w:p>
      <w:pPr>
        <w:spacing w:after="80" w:before="40"/>
      </w:pPr>
      <w:r>
        <w:rPr>
          <w:rFonts w:ascii="Arial" w:cs="Arial" w:eastAsia="Arial" w:hAnsi="Arial"/>
          <w:color w:val="111111"/>
          <w:sz w:val="21"/>
          <w:szCs w:val="21"/>
        </w:rPr>
        <w:t xml:space="preserve">The data ingestion and LLM synthesis pipeline is platform-agnostic and vertical-agnostic by architecture. The long-term vision positions Modus as the intelligence operating system for any product-based business — a single platform where any operator, on any stack, gets a unified view of inventory health, customer behaviour, and commercial opportunity, with a clear set of AI-reasoned actions to improve all three simultaneously.</w:t>
      </w:r>
    </w:p>
    <w:p>
      <w:pPr>
        <w:spacing w:after="80" w:before="40"/>
      </w:pPr>
      <w:r>
        <w:rPr>
          <w:rFonts w:ascii="Arial" w:cs="Arial" w:eastAsia="Arial" w:hAnsi="Arial"/>
          <w:color w:val="111111"/>
          <w:sz w:val="21"/>
          <w:szCs w:val="21"/>
        </w:rPr>
        <w:t xml:space="preserve">As the user base scales, anonymised aggregate signals create compounding model improvement — recommendation quality improves with platform scale, building a data moat that is strongest in verticals with complex inventory dynamics: food and beverage, pharmaceuticals, fashion. These are categories where Modus's stock type intelligence layer creates barriers to entry that generic tools cannot match. Phase 2 deepens this further with the Manufacturing Add-on — extending Modus into production intelligence with BOM tracking, WIP monitoring, batch and serial traceability, yield and wastage analysis, and raw material runway recommendations. This expansion moves Modus beyond the merchant and retailer market into the full population of product-based businesses, including those that manufacture what they sell. At full scale, Modus becomes the intelligence operating system for any business that makes, holds, and sells physical products — a category far larger than e-commerce alone.</w:t>
      </w:r>
    </w:p>
    <w:p>
      <w:pPr>
        <w:spacing w:after="80" w:before="0"/>
      </w:pPr>
      <w:r>
        <w:t xml:space="preserve"/>
      </w:r>
    </w:p>
    <w:p>
      <w:pPr>
        <w:spacing w:after="80" w:before="0"/>
      </w:pPr>
      <w:r>
        <w:t xml:space="preserve"/>
      </w:r>
    </w:p>
    <w:p>
      <w:pPr>
        <w:spacing w:after="0" w:before="160"/>
      </w:pPr>
      <w:r>
        <w:rPr>
          <w:rFonts w:ascii="Arial" w:cs="Arial" w:eastAsia="Arial" w:hAnsi="Arial"/>
          <w:b/>
          <w:bCs/>
          <w:color w:val="000000"/>
          <w:sz w:val="21"/>
          <w:szCs w:val="21"/>
        </w:rPr>
        <w:t xml:space="preserve">MODUS — Intelligent Commerce. Unified.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000000"/>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2026-06-06T10:59:26.600Z</dcterms:created>
  <dcterms:modified xsi:type="dcterms:W3CDTF">2026-06-06T10:59:26.616Z</dcterms:modified>
</cp:coreProperties>
</file>

<file path=docProps/custom.xml><?xml version="1.0" encoding="utf-8"?>
<Properties xmlns="http://schemas.openxmlformats.org/officeDocument/2006/custom-properties" xmlns:vt="http://schemas.openxmlformats.org/officeDocument/2006/docPropsVTypes"/>
</file>