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EDD69" w14:textId="6201FEE5" w:rsidR="009F0565" w:rsidRPr="00426B2C" w:rsidRDefault="00426B2C">
      <w:pPr>
        <w:rPr>
          <w:rFonts w:ascii="Times New Roman" w:hAnsi="Times New Roman" w:cs="Times New Roman"/>
        </w:rPr>
      </w:pPr>
      <w:r w:rsidRPr="00426B2C">
        <w:rPr>
          <w:rFonts w:ascii="Times New Roman" w:hAnsi="Times New Roman" w:cs="Times New Roman"/>
          <w:b/>
          <w:bCs/>
        </w:rPr>
        <w:t>Graphical Abstract</w:t>
      </w:r>
      <w:r w:rsidRPr="00426B2C">
        <w:rPr>
          <w:rFonts w:ascii="Times New Roman" w:hAnsi="Times New Roman" w:cs="Times New Roman"/>
          <w:b/>
          <w:bCs/>
        </w:rPr>
        <w:br/>
      </w:r>
      <w:r w:rsidRPr="00426B2C">
        <w:rPr>
          <w:rFonts w:ascii="Times New Roman" w:hAnsi="Times New Roman" w:cs="Times New Roman"/>
        </w:rPr>
        <w:t>This study systematically evaluates retrieval-augmented generation pipelines for medical question answering, demonstrating that dense retrieval with query reformulation and reranking significantly improves MedQA performance while maintaining practical computational efficiency on consumer-grade hardware.</w:t>
      </w:r>
    </w:p>
    <w:sectPr w:rsidR="009F0565" w:rsidRPr="00426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2C"/>
    <w:rsid w:val="00252087"/>
    <w:rsid w:val="00426B2C"/>
    <w:rsid w:val="007E0626"/>
    <w:rsid w:val="009F0565"/>
    <w:rsid w:val="00EF725A"/>
    <w:rsid w:val="00F56C6E"/>
    <w:rsid w:val="00F56D04"/>
    <w:rsid w:val="00F633D2"/>
    <w:rsid w:val="00FE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8F649"/>
  <w15:chartTrackingRefBased/>
  <w15:docId w15:val="{B0AC0C35-438E-6C4B-9362-5DF470F8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6B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6B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2C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2C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SULTANA</dc:creator>
  <cp:keywords/>
  <dc:description/>
  <cp:lastModifiedBy>NUSRAT SULTANA</cp:lastModifiedBy>
  <cp:revision>1</cp:revision>
  <dcterms:created xsi:type="dcterms:W3CDTF">2026-05-20T19:17:00Z</dcterms:created>
  <dcterms:modified xsi:type="dcterms:W3CDTF">2026-05-20T19:18:00Z</dcterms:modified>
</cp:coreProperties>
</file>