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RESIDENTIAL TENANCY AGREEMENT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Rent Agreement is made between: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LANDLORD: Salman Khalil (CNIC: 35201-9876543-2)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TENANT: TBD (CNIC: N/A)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DETAILS: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Address: Allama Iqbal Town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TERMS: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Monthly Rent: PKR 60,000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Security Deposit: PKR 2 months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Duration: 12 Months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Annual Increase: 10%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GENERATED LEGAL CLAUSES: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[EVICTION POLICY]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event of non-payment of rent or breach of contract, the tenant shall be given a 15-day notice period to rectify the issue. If the issue persists, the landlord reserves the right to initiate eviction proceedings.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[MAINTENANCE RESPONSIBILITIES]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tenant shall be responsible for minor day-to-day repairs and maintenance of the property. However, the landlord shall handle any major structural issues that may arise.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[JURISDICTION]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disputes arising from this agreement shall be subject to the exclusive jurisdiction of the courts in Lahore, Punjab, Pakistan.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Signatures: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                _______________________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Landlord                               Tenant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2026-05-04T20:59:37Z</dcterms:modified>
  <dc:creator/>
  <dc:description/>
  <dc:identifier/>
  <dc:language/>
  <dc:subject/>
</cp:coreProperties>
</file>