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Islamic Marriage Contract is made on {{date}} between {{husband_name}} (the Husband) and {{wife_name}} (the Wife). The parties agree to the following terms: </w:t>
      </w:r>
    </w:p>
    <w:p>
      <w:r>
        <w:t xml:space="preserve">1. Haq Mehr: The Husband agrees to pay Haq Mehr in the amount of {{haq_mehr_amount}} to the Wife, with payment terms as follows: {{haq_mehr_payment_terms}}. </w:t>
      </w:r>
    </w:p>
    <w:p>
      <w:r>
        <w:t xml:space="preserve">2. Talaq-e-Tafweez: The Wife is granted the right to Talaq-e-Tafweez under the following conditions: {{talaq_e_tafweez_conditions}}. </w:t>
      </w:r>
    </w:p>
    <w:p>
      <w:r>
        <w:t xml:space="preserve">3. Governing Law: This contract shall be governed by and construed in accordance with the laws of Pakistan, specifically the Muslim Family Laws Ordinance. </w:t>
      </w:r>
    </w:p>
    <w:p>
      <w:r>
        <w:t>By signing below, the parties acknowledge that they have read, understand, and agree to the terms of this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