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Warranty and Guarantee Terms</w:t>
      </w:r>
    </w:p>
    <w:p>
      <w:pPr>
        <w:pStyle w:val="Heading1"/>
      </w:pPr>
      <w:r>
        <w:t>Service Guarantees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Type</w:t>
            </w:r>
          </w:p>
        </w:tc>
        <w:tc>
          <w:tcPr>
            <w:tcW w:type="dxa" w:w="2880"/>
          </w:tcPr>
          <w:p>
            <w:r>
              <w:t>Guarantee Period</w:t>
            </w:r>
          </w:p>
        </w:tc>
        <w:tc>
          <w:tcPr>
            <w:tcW w:type="dxa" w:w="2880"/>
          </w:tcPr>
          <w:p>
            <w:r>
              <w:t>Free Re-treatment</w:t>
            </w:r>
          </w:p>
        </w:tc>
      </w:tr>
      <w:tr>
        <w:tc>
          <w:tcPr>
            <w:tcW w:type="dxa" w:w="2880"/>
          </w:tcPr>
          <w:p>
            <w:r>
              <w:t>General Pest Control</w:t>
            </w:r>
          </w:p>
        </w:tc>
        <w:tc>
          <w:tcPr>
            <w:tcW w:type="dxa" w:w="2880"/>
          </w:tcPr>
          <w:p>
            <w:r>
              <w:t>1 month</w:t>
            </w:r>
          </w:p>
        </w:tc>
        <w:tc>
          <w:tcPr>
            <w:tcW w:type="dxa" w:w="2880"/>
          </w:tcPr>
          <w:p>
            <w:r>
              <w:t>Yes, within 30 days</w:t>
            </w:r>
          </w:p>
        </w:tc>
      </w:tr>
      <w:tr>
        <w:tc>
          <w:tcPr>
            <w:tcW w:type="dxa" w:w="2880"/>
          </w:tcPr>
          <w:p>
            <w:r>
              <w:t>Termite Treatment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Yes, annual inspection</w:t>
            </w:r>
          </w:p>
        </w:tc>
      </w:tr>
      <w:tr>
        <w:tc>
          <w:tcPr>
            <w:tcW w:type="dxa" w:w="2880"/>
          </w:tcPr>
          <w:p>
            <w:r>
              <w:t>Bed Bug Treatment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  <w:tc>
          <w:tcPr>
            <w:tcW w:type="dxa" w:w="2880"/>
          </w:tcPr>
          <w:p>
            <w:r>
              <w:t>Yes, if reappear</w:t>
            </w:r>
          </w:p>
        </w:tc>
      </w:tr>
      <w:tr>
        <w:tc>
          <w:tcPr>
            <w:tcW w:type="dxa" w:w="2880"/>
          </w:tcPr>
          <w:p>
            <w:r>
              <w:t>Rodent Control</w:t>
            </w:r>
          </w:p>
        </w:tc>
        <w:tc>
          <w:tcPr>
            <w:tcW w:type="dxa" w:w="2880"/>
          </w:tcPr>
          <w:p>
            <w:r>
              <w:t>2 months</w:t>
            </w:r>
          </w:p>
        </w:tc>
        <w:tc>
          <w:tcPr>
            <w:tcW w:type="dxa" w:w="2880"/>
          </w:tcPr>
          <w:p>
            <w:r>
              <w:t>Yes, with monitoring</w:t>
            </w:r>
          </w:p>
        </w:tc>
      </w:tr>
      <w:tr>
        <w:tc>
          <w:tcPr>
            <w:tcW w:type="dxa" w:w="2880"/>
          </w:tcPr>
          <w:p>
            <w:r>
              <w:t>Cockroach Control</w:t>
            </w:r>
          </w:p>
        </w:tc>
        <w:tc>
          <w:tcPr>
            <w:tcW w:type="dxa" w:w="2880"/>
          </w:tcPr>
          <w:p>
            <w:r>
              <w:t>2 months</w:t>
            </w:r>
          </w:p>
        </w:tc>
        <w:tc>
          <w:tcPr>
            <w:tcW w:type="dxa" w:w="2880"/>
          </w:tcPr>
          <w:p>
            <w:r>
              <w:t>Yes, one time</w:t>
            </w:r>
          </w:p>
        </w:tc>
      </w:tr>
    </w:tbl>
    <w:p>
      <w:pPr>
        <w:pStyle w:val="Heading1"/>
      </w:pPr>
      <w:r>
        <w:t>Guarantee Conditions</w:t>
      </w:r>
    </w:p>
    <w:p>
      <w:pPr>
        <w:pStyle w:val="ListBullet"/>
      </w:pPr>
      <w:r>
        <w:t>Customer must follow all pre-treatment instructions</w:t>
      </w:r>
    </w:p>
    <w:p>
      <w:pPr>
        <w:pStyle w:val="ListBullet"/>
      </w:pPr>
      <w:r>
        <w:t>Post-treatment guidelines must be followed</w:t>
      </w:r>
    </w:p>
    <w:p>
      <w:pPr>
        <w:pStyle w:val="ListBullet"/>
      </w:pPr>
      <w:r>
        <w:t>Property must not be modified during guarantee period</w:t>
      </w:r>
    </w:p>
    <w:p>
      <w:pPr>
        <w:pStyle w:val="ListBullet"/>
      </w:pPr>
      <w:r>
        <w:t>New infestations from outside not covered</w:t>
      </w:r>
    </w:p>
    <w:p>
      <w:pPr>
        <w:pStyle w:val="ListBullet"/>
      </w:pPr>
      <w:r>
        <w:t>Guarantee valid only with proof of service (invoice/certificate)</w:t>
      </w:r>
    </w:p>
    <w:p>
      <w:pPr>
        <w:pStyle w:val="Heading1"/>
      </w:pPr>
      <w:r>
        <w:t>Claim Process</w:t>
      </w:r>
    </w:p>
    <w:p>
      <w:r>
        <w:t>To claim guarantee: Contact us within guarantee period, provide service invoice number, describe the issue with photos if possible, schedule inspection visit (free), receive free re-treatment if issue confirmed. Response time: 24-48 hours.</w:t>
      </w:r>
    </w:p>
    <w:p>
      <w:pPr>
        <w:pStyle w:val="Heading1"/>
      </w:pPr>
      <w:r>
        <w:t>Refund Policy</w:t>
      </w:r>
    </w:p>
    <w:p>
      <w:r>
        <w:t>Full refund if service not performed as agreed. Partial refund if results not satisfactory after re-treatment. No refund if customer did not follow instructions. Refund processed within 7-10 business days.</w:t>
      </w:r>
    </w:p>
    <w:p>
      <w:pPr>
        <w:pStyle w:val="Heading1"/>
      </w:pPr>
      <w:r>
        <w:t>Important Guarantee Notes</w:t>
      </w:r>
    </w:p>
    <w:p>
      <w:pPr>
        <w:pStyle w:val="ListBullet"/>
      </w:pPr>
      <w:r>
        <w:t>Termite Proofing is guaranteed against re-infestation for the period specified in your service agreement</w:t>
      </w:r>
    </w:p>
    <w:p>
      <w:pPr>
        <w:pStyle w:val="ListBullet"/>
      </w:pPr>
      <w:r>
        <w:t>All general pest treatments include a follow-up service if infestation recurs within the guarantee period</w:t>
      </w:r>
    </w:p>
    <w:p>
      <w:pPr>
        <w:pStyle w:val="ListBullet"/>
      </w:pPr>
      <w:r>
        <w:t>Guarantee is only valid if customer follows all pre-treatment and post-treatment instructions</w:t>
      </w:r>
    </w:p>
    <w:p>
      <w:pPr>
        <w:pStyle w:val="ListBullet"/>
      </w:pPr>
      <w:r>
        <w:t>New infestations from external sources (e.g., neighbor's property) are not covered under guarantee</w:t>
      </w:r>
    </w:p>
    <w:p>
      <w:pPr>
        <w:pStyle w:val="ListBullet"/>
      </w:pPr>
      <w:r>
        <w:t>Guarantee certificate must be presented for any claims</w:t>
      </w:r>
    </w:p>
    <w:p>
      <w:pPr>
        <w:pStyle w:val="ListBullet"/>
      </w:pPr>
      <w:r>
        <w:t>Annual inspections are required for long-term termite guarantees (5-10 years)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