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Родительская сущность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Объект пользователя, который имеет атрибуты и ссылки на другие объекты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ФИО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PersonalEmail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Электронная почта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StatusAuth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Статус авторизации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eSim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Родительская сущность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eSim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Объект содержит информацию о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eSimSerialNumber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“Серийный” номер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ActivationCode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Код для активации eSIM (по нему генерируется QR)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StatusEsim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Статус текущего состояния eSIM (например, “ожидание активации”, “активирована”, “неактивна”)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eSimActivation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Родительская сущность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eSimActivation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Объект процесса активации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ActivationID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Уникальный идентификатор активации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eSim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ActivationDate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Дата и время запроса на подключение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ActivationStatus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Статус подключения (например, “ожидание”, “успешно”, “неуспешно”)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