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40"/>
      </w:pPr>
      <w:r>
        <w:rPr>
          <w:b/>
          <w:color w:val="1A1A1A"/>
          <w:sz w:val="44"/>
          <w:szCs w:val="44"/>
        </w:rPr>
        <w:t xml:space="preserve">Chronilogix — Broker Track</w:t>
      </w:r>
    </w:p>
    <w:p>
      <w:pPr>
        <w:spacing w:after="200"/>
      </w:pPr>
      <w:r>
        <w:rPr>
          <w:i/>
          <w:color w:val="C0561C"/>
          <w:sz w:val="26"/>
          <w:szCs w:val="26"/>
        </w:rPr>
        <w:t xml:space="preserve">Voiceover Transcript</w:t>
      </w:r>
    </w:p>
    <w:p>
      <w:pPr>
        <w:spacing w:after="60"/>
      </w:pPr>
      <w:r>
        <w:rPr>
          <w:color w:val="6B7280"/>
          <w:sz w:val="18"/>
          <w:szCs w:val="18"/>
        </w:rPr>
        <w:t xml:space="preserve">Source: FINAL Broker track 20260210  ·  Duration: ~2:01  ·  Coach: Roni (Chronilogix AI)</w:t>
      </w:r>
    </w:p>
    <w:p>
      <w:pPr>
        <w:spacing w:after="240"/>
      </w:pPr>
      <w:r>
        <w:rPr>
          <w:color w:val="6B7280"/>
          <w:sz w:val="18"/>
          <w:szCs w:val="18"/>
        </w:rPr>
        <w:t xml:space="preserve">Brand spellings normalized (Chronilogix, Roni, US English). Timestamps estimated to the audio; refine with a word-level pass if needed.</w:t>
      </w:r>
    </w:p>
    <w:p>
      <w:pPr>
        <w:spacing w:after="140"/>
      </w:pPr>
      <w:r>
        <w:rPr>
          <w:b/>
          <w:color w:val="1A1A1A"/>
          <w:sz w:val="26"/>
          <w:szCs w:val="26"/>
        </w:rPr>
        <w:t xml:space="preserve">Timestamped transcript</w:t>
      </w:r>
    </w:p>
    <w:p>
      <w:pPr>
        <w:spacing w:after="140"/>
      </w:pPr>
      <w:r>
        <w:rPr>
          <w:b/>
          <w:color w:val="C0561C"/>
        </w:rPr>
        <w:t xml:space="preserve">[00:00]  </w:t>
      </w:r>
      <w:r>
        <w:rPr/>
        <w:t xml:space="preserve">If you're a broker working with self-funded employers, here's the uncomfortable truth: plan design isn't where the money's leaking anymore.</w:t>
      </w:r>
    </w:p>
    <w:p>
      <w:pPr>
        <w:spacing w:after="140"/>
      </w:pPr>
      <w:r>
        <w:rPr>
          <w:b/>
          <w:color w:val="C0561C"/>
        </w:rPr>
        <w:t xml:space="preserve">[00:11]  </w:t>
      </w:r>
      <w:r>
        <w:rPr/>
        <w:t xml:space="preserve">Your clients are paying for chronic conditions like diabetes and obesity, rising behavioral health claims, and delayed care driven by high deductibles.</w:t>
      </w:r>
    </w:p>
    <w:p>
      <w:pPr>
        <w:spacing w:after="140"/>
      </w:pPr>
      <w:r>
        <w:rPr>
          <w:b/>
          <w:color w:val="C0561C"/>
        </w:rPr>
        <w:t xml:space="preserve">[00:22]  </w:t>
      </w:r>
      <w:r>
        <w:rPr/>
        <w:t xml:space="preserve">Employees wait, conditions worsen, and claims spike — and you're expected to explain it at renewal.</w:t>
      </w:r>
    </w:p>
    <w:p>
      <w:pPr>
        <w:spacing w:after="140"/>
      </w:pPr>
      <w:r>
        <w:rPr>
          <w:b/>
          <w:color w:val="C0561C"/>
        </w:rPr>
        <w:t xml:space="preserve">[00:31]  </w:t>
      </w:r>
      <w:r>
        <w:rPr/>
        <w:t xml:space="preserve">That's the real problem. Most healthcare spend isn't caused by catastrophic events.</w:t>
      </w:r>
    </w:p>
    <w:p>
      <w:pPr>
        <w:spacing w:after="140"/>
      </w:pPr>
      <w:r>
        <w:rPr>
          <w:b/>
          <w:color w:val="C0561C"/>
        </w:rPr>
        <w:t xml:space="preserve">[00:38]  </w:t>
      </w:r>
      <w:r>
        <w:rPr/>
        <w:t xml:space="preserve">It's caused by unmanaged behavior between doctor visits — and traditional plans don't touch that. Chronilogix does.</w:t>
      </w:r>
    </w:p>
    <w:p>
      <w:pPr>
        <w:spacing w:after="140"/>
      </w:pPr>
      <w:r>
        <w:rPr>
          <w:b/>
          <w:color w:val="C0561C"/>
        </w:rPr>
        <w:t xml:space="preserve">[00:46]  </w:t>
      </w:r>
      <w:r>
        <w:rPr/>
        <w:t xml:space="preserve">Chronilogix is a front-door claims-mitigation strategy for self-funded plans.</w:t>
      </w:r>
    </w:p>
    <w:p>
      <w:pPr>
        <w:spacing w:after="140"/>
      </w:pPr>
      <w:r>
        <w:rPr>
          <w:b/>
          <w:color w:val="C0561C"/>
        </w:rPr>
        <w:t xml:space="preserve">[00:52]  </w:t>
      </w:r>
      <w:r>
        <w:rPr/>
        <w:t xml:space="preserve">It delivers 24/7, AI-driven chronic and behavioral health coaching that engages members before claims escalate.</w:t>
      </w:r>
    </w:p>
    <w:p>
      <w:pPr>
        <w:spacing w:after="140"/>
      </w:pPr>
      <w:r>
        <w:rPr>
          <w:b/>
          <w:color w:val="C0561C"/>
        </w:rPr>
        <w:t xml:space="preserve">[01:00]  </w:t>
      </w:r>
      <w:r>
        <w:rPr/>
        <w:t xml:space="preserve">At the center is Roni, Chronilogix's AI coach — trained in motivational interviewing and grounded in more than 30 years of research.</w:t>
      </w:r>
    </w:p>
    <w:p>
      <w:pPr>
        <w:spacing w:after="140"/>
      </w:pPr>
      <w:r>
        <w:rPr>
          <w:b/>
          <w:color w:val="C0561C"/>
        </w:rPr>
        <w:t xml:space="preserve">[01:09]  </w:t>
      </w:r>
      <w:r>
        <w:rPr/>
        <w:t xml:space="preserve">This isn't reminders or wellness noise. It's real behavior change delivered at scale, without relying on scarce clinicians.</w:t>
      </w:r>
    </w:p>
    <w:p>
      <w:pPr>
        <w:spacing w:after="140"/>
      </w:pPr>
      <w:r>
        <w:rPr>
          <w:b/>
          <w:color w:val="C0561C"/>
        </w:rPr>
        <w:t xml:space="preserve">[01:18]  </w:t>
      </w:r>
      <w:r>
        <w:rPr/>
        <w:t xml:space="preserve">Chronilogix targets the top drivers of avoidable spend, improves adherence and self-management, and replaces up to 80% of human coaching sessions for roughly $5 per session.</w:t>
      </w:r>
    </w:p>
    <w:p>
      <w:pPr>
        <w:spacing w:after="140"/>
      </w:pPr>
      <w:r>
        <w:rPr>
          <w:b/>
          <w:color w:val="C0561C"/>
        </w:rPr>
        <w:t xml:space="preserve">[01:31]  </w:t>
      </w:r>
      <w:r>
        <w:rPr/>
        <w:t xml:space="preserve">For employers, that means earlier engagement and fewer high-cost claims. For brokers, it means something more valuable.</w:t>
      </w:r>
    </w:p>
    <w:p>
      <w:pPr>
        <w:spacing w:after="140"/>
      </w:pPr>
      <w:r>
        <w:rPr>
          <w:b/>
          <w:color w:val="C0561C"/>
        </w:rPr>
        <w:t xml:space="preserve">[01:40]  </w:t>
      </w:r>
      <w:r>
        <w:rPr/>
        <w:t xml:space="preserve">Chronilogix helps differentiate you in a market where everyone else is selling just another point solution.</w:t>
      </w:r>
    </w:p>
    <w:p>
      <w:pPr>
        <w:spacing w:after="140"/>
      </w:pPr>
      <w:r>
        <w:rPr>
          <w:b/>
          <w:color w:val="C0561C"/>
        </w:rPr>
        <w:t xml:space="preserve">[01:47]  </w:t>
      </w:r>
      <w:r>
        <w:rPr/>
        <w:t xml:space="preserve">You move upstream in the cost curve, and it gives you a defensible ROI story.</w:t>
      </w:r>
    </w:p>
    <w:p>
      <w:pPr>
        <w:spacing w:after="140"/>
      </w:pPr>
      <w:r>
        <w:rPr>
          <w:b/>
          <w:color w:val="C0561C"/>
        </w:rPr>
        <w:t xml:space="preserve">[01:53]  </w:t>
      </w:r>
      <w:r>
        <w:rPr/>
        <w:t xml:space="preserve">To learn how it helps you deliver measurable value and stand apart, visit chronilogix.com. Chronilogix — chronic care coaching that actually clicks.</w:t>
      </w:r>
    </w:p>
    <w:p>
      <w:pPr>
        <w:spacing w:after="140"/>
      </w:pPr>
      <w:r>
        <w:rPr>
          <w:b/>
          <w:color w:val="1A1A1A"/>
          <w:sz w:val="26"/>
          <w:szCs w:val="26"/>
        </w:rPr>
        <w:t xml:space="preserve">Full narration</w:t>
      </w:r>
    </w:p>
    <w:p>
      <w:pPr>
        <w:spacing w:after="160"/>
      </w:pPr>
      <w:r>
        <w:rPr/>
        <w:t xml:space="preserve">If you're a broker working with self-funded employers, here's the uncomfortable truth: plan design isn't where the money's leaking anymore. Your clients are paying for chronic conditions like diabetes and obesity, rising behavioral health claims, and delayed care driven by high deductibles. Employees wait, conditions worsen, and claims spike — and you're expected to explain it at renewal. That's the real problem. Most healthcare spend isn't caused by catastrophic events. It's caused by unmanaged behavior between doctor visits — and traditional plans don't touch that. Chronilogix does. Chronilogix is a front-door claims-mitigation strategy for self-funded plans. It delivers 24/7, AI-driven chronic and behavioral health coaching that engages members before claims escalate. At the center is Roni, Chronilogix's AI coach — trained in motivational interviewing and grounded in more than 30 years of research. This isn't reminders or wellness noise. It's real behavior change delivered at scale, without relying on scarce clinicians. Chronilogix targets the top drivers of avoidable spend, improves adherence and self-management, and replaces up to 80% of human coaching sessions for roughly $5 per session. For employers, that means earlier engagement and fewer high-cost claims. For brokers, it means something more valuable. Chronilogix helps differentiate you in a market where everyone else is selling just another point solution. You move upstream in the cost curve, and it gives you a defensible ROI story. To learn how it helps you deliver measurable value and stand apart, visit chronilogix.com. Chronilogix — chronic care coaching that actually clicks.</w:t>
      </w:r>
    </w:p>
    <w:sectPr>
      <w:pgSz w:w="12240" w:h="15840"/>
      <w:pgMar w:top="1440" w:right="1440" w:bottom="1440" w:left="1440" w:header="720" w:footer="720" w:gutter="0"/>
    </w:sectPr>
  </w:body>
</w:document>
</file>