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8A84" w14:textId="77777777" w:rsidR="00924B97" w:rsidRDefault="00924B97">
      <w:pPr>
        <w:pBdr>
          <w:bottom w:val="single" w:sz="24" w:space="1" w:color="F07840"/>
        </w:pBdr>
      </w:pPr>
    </w:p>
    <w:p w14:paraId="20319052" w14:textId="77777777" w:rsidR="00924B97" w:rsidRDefault="00000000">
      <w:pPr>
        <w:spacing w:before="520"/>
      </w:pPr>
      <w:r>
        <w:rPr>
          <w:noProof/>
        </w:rPr>
        <w:drawing>
          <wp:inline distT="0" distB="0" distL="0" distR="0" wp14:anchorId="73A499DE" wp14:editId="0CAFDE33">
            <wp:extent cx="3543300" cy="895350"/>
            <wp:effectExtent l="0" t="0" r="0" b="0"/>
            <wp:docPr id="1" name="logo" descr="Chronilogix&#10;Chronilogi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Chronilogix&#10;Chronilogix logo"/>
                    <pic:cNvPicPr>
                      <a:picLocks noChangeAspect="1" noChangeArrowheads="1"/>
                    </pic:cNvPicPr>
                  </pic:nvPicPr>
                  <pic:blipFill>
                    <a:blip r:embed="rId7"/>
                    <a:stretch>
                      <a:fillRect/>
                    </a:stretch>
                  </pic:blipFill>
                  <pic:spPr bwMode="auto">
                    <a:xfrm>
                      <a:off x="0" y="0"/>
                      <a:ext cx="3543300" cy="895350"/>
                    </a:xfrm>
                    <a:prstGeom prst="rect">
                      <a:avLst/>
                    </a:prstGeom>
                  </pic:spPr>
                </pic:pic>
              </a:graphicData>
            </a:graphic>
          </wp:inline>
        </w:drawing>
      </w:r>
    </w:p>
    <w:p w14:paraId="287A4D44" w14:textId="77777777" w:rsidR="00924B97" w:rsidRDefault="00924B97">
      <w:pPr>
        <w:spacing w:after="600"/>
      </w:pPr>
    </w:p>
    <w:p w14:paraId="76F2FB5F" w14:textId="77777777" w:rsidR="00924B97" w:rsidRDefault="00000000">
      <w:pPr>
        <w:spacing w:after="60"/>
      </w:pPr>
      <w:r>
        <w:rPr>
          <w:b/>
          <w:bCs/>
          <w:color w:val="F07840"/>
          <w:spacing w:val="60"/>
          <w:sz w:val="18"/>
          <w:szCs w:val="18"/>
        </w:rPr>
        <w:t>WHITE PAPER</w:t>
      </w:r>
    </w:p>
    <w:p w14:paraId="62A26B43" w14:textId="77777777" w:rsidR="00924B97" w:rsidRDefault="00000000">
      <w:pPr>
        <w:spacing w:after="160"/>
      </w:pPr>
      <w:r>
        <w:rPr>
          <w:rFonts w:ascii="Georgia" w:eastAsia="Georgia" w:hAnsi="Georgia" w:cs="Georgia"/>
          <w:b/>
          <w:bCs/>
          <w:color w:val="283038"/>
          <w:sz w:val="56"/>
          <w:szCs w:val="56"/>
        </w:rPr>
        <w:t>Motivational Interviewing</w:t>
      </w:r>
    </w:p>
    <w:p w14:paraId="0BF9DE02" w14:textId="77777777" w:rsidR="00924B97" w:rsidRDefault="00000000">
      <w:pPr>
        <w:spacing w:after="200"/>
      </w:pPr>
      <w:r>
        <w:rPr>
          <w:rFonts w:ascii="Georgia" w:eastAsia="Georgia" w:hAnsi="Georgia" w:cs="Georgia"/>
          <w:b/>
          <w:bCs/>
          <w:color w:val="283038"/>
          <w:sz w:val="56"/>
          <w:szCs w:val="56"/>
        </w:rPr>
        <w:t>in AI Coaches</w:t>
      </w:r>
    </w:p>
    <w:p w14:paraId="0BC69F16" w14:textId="77777777" w:rsidR="00924B97" w:rsidRDefault="00924B97">
      <w:pPr>
        <w:pBdr>
          <w:bottom w:val="single" w:sz="12" w:space="4" w:color="F07840"/>
        </w:pBdr>
      </w:pPr>
    </w:p>
    <w:p w14:paraId="5DD1D6D9" w14:textId="77777777" w:rsidR="00924B97" w:rsidRDefault="00000000">
      <w:pPr>
        <w:spacing w:before="200" w:after="480"/>
      </w:pPr>
      <w:r>
        <w:rPr>
          <w:rFonts w:ascii="Georgia" w:eastAsia="Georgia" w:hAnsi="Georgia" w:cs="Georgia"/>
          <w:i/>
          <w:iCs/>
          <w:color w:val="6A7178"/>
          <w:sz w:val="26"/>
          <w:szCs w:val="26"/>
        </w:rPr>
        <w:t>Why contextually engineered conversation, not clever prompting, delivers measurable behavior change.</w:t>
      </w:r>
    </w:p>
    <w:tbl>
      <w:tblPr>
        <w:tblW w:w="9360" w:type="dxa"/>
        <w:tblLayout w:type="fixed"/>
        <w:tblCellMar>
          <w:top w:w="140" w:type="dxa"/>
          <w:left w:w="220" w:type="dxa"/>
          <w:bottom w:w="140" w:type="dxa"/>
          <w:right w:w="200" w:type="dxa"/>
        </w:tblCellMar>
        <w:tblLook w:val="04A0" w:firstRow="1" w:lastRow="0" w:firstColumn="1" w:lastColumn="0" w:noHBand="0" w:noVBand="1"/>
      </w:tblPr>
      <w:tblGrid>
        <w:gridCol w:w="9360"/>
      </w:tblGrid>
      <w:tr w:rsidR="00924B97" w14:paraId="559434B9" w14:textId="77777777">
        <w:tc>
          <w:tcPr>
            <w:tcW w:w="9360" w:type="dxa"/>
            <w:tcBorders>
              <w:top w:val="single" w:sz="2" w:space="0" w:color="F4F2EF"/>
              <w:left w:val="single" w:sz="28" w:space="0" w:color="F07840"/>
              <w:bottom w:val="single" w:sz="2" w:space="0" w:color="F4F2EF"/>
              <w:right w:val="single" w:sz="2" w:space="0" w:color="F4F2EF"/>
            </w:tcBorders>
            <w:shd w:val="clear" w:color="auto" w:fill="F4F2EF"/>
          </w:tcPr>
          <w:p w14:paraId="562C2417" w14:textId="77777777" w:rsidR="00924B97" w:rsidRDefault="00000000">
            <w:pPr>
              <w:spacing w:after="60"/>
            </w:pPr>
            <w:r>
              <w:rPr>
                <w:b/>
                <w:bCs/>
                <w:color w:val="283038"/>
                <w:sz w:val="20"/>
                <w:szCs w:val="20"/>
              </w:rPr>
              <w:t>A Chronilogix White Paper</w:t>
            </w:r>
          </w:p>
          <w:p w14:paraId="7671575A" w14:textId="77777777" w:rsidR="00924B97" w:rsidRDefault="00000000">
            <w:pPr>
              <w:spacing w:after="60"/>
            </w:pPr>
            <w:r>
              <w:rPr>
                <w:sz w:val="19"/>
                <w:szCs w:val="19"/>
              </w:rPr>
              <w:t>Drawing on the published work of Co-Founder and Chief Science Officer</w:t>
            </w:r>
          </w:p>
          <w:p w14:paraId="7530FF18" w14:textId="77777777" w:rsidR="00924B97" w:rsidRDefault="00000000">
            <w:pPr>
              <w:spacing w:after="60"/>
            </w:pPr>
            <w:r>
              <w:rPr>
                <w:b/>
                <w:bCs/>
                <w:color w:val="283038"/>
                <w:sz w:val="19"/>
                <w:szCs w:val="19"/>
              </w:rPr>
              <w:t>Ken Resnicow, PhD</w:t>
            </w:r>
            <w:r>
              <w:rPr>
                <w:sz w:val="19"/>
                <w:szCs w:val="19"/>
              </w:rPr>
              <w:t xml:space="preserve"> — University of Michigan School of Public Health</w:t>
            </w:r>
          </w:p>
          <w:p w14:paraId="73B72F08" w14:textId="77777777" w:rsidR="00924B97" w:rsidRDefault="00000000">
            <w:r>
              <w:rPr>
                <w:i/>
                <w:iCs/>
                <w:color w:val="6A7178"/>
                <w:sz w:val="19"/>
                <w:szCs w:val="19"/>
              </w:rPr>
              <w:t>Continuous care infrastructure for wellness platforms.</w:t>
            </w:r>
          </w:p>
        </w:tc>
      </w:tr>
    </w:tbl>
    <w:p w14:paraId="31B78FEC" w14:textId="77777777" w:rsidR="00924B97" w:rsidRDefault="00000000">
      <w:pPr>
        <w:sectPr w:rsidR="00924B97">
          <w:headerReference w:type="even" r:id="rId8"/>
          <w:headerReference w:type="default" r:id="rId9"/>
          <w:footerReference w:type="even" r:id="rId10"/>
          <w:footerReference w:type="default" r:id="rId11"/>
          <w:headerReference w:type="first" r:id="rId12"/>
          <w:footerReference w:type="first" r:id="rId13"/>
          <w:pgSz w:w="12240" w:h="15840"/>
          <w:pgMar w:top="1080" w:right="1440" w:bottom="1080" w:left="1440" w:header="708" w:footer="708" w:gutter="0"/>
          <w:cols w:space="720"/>
          <w:formProt w:val="0"/>
          <w:docGrid w:linePitch="360" w:charSpace="6143"/>
        </w:sectPr>
      </w:pPr>
      <w:r>
        <w:br w:type="page"/>
      </w:r>
    </w:p>
    <w:p w14:paraId="6A192E18" w14:textId="77777777" w:rsidR="00924B97" w:rsidRDefault="00000000">
      <w:pPr>
        <w:spacing w:after="200"/>
      </w:pPr>
      <w:r>
        <w:rPr>
          <w:rFonts w:ascii="Georgia" w:eastAsia="Georgia" w:hAnsi="Georgia" w:cs="Georgia"/>
          <w:b/>
          <w:bCs/>
          <w:color w:val="283038"/>
          <w:sz w:val="36"/>
          <w:szCs w:val="36"/>
        </w:rPr>
        <w:t>Contents</w:t>
      </w:r>
    </w:p>
    <w:p w14:paraId="630A34FE" w14:textId="77777777" w:rsidR="00924B97" w:rsidRDefault="00924B97">
      <w:pPr>
        <w:pBdr>
          <w:bottom w:val="single" w:sz="12" w:space="4" w:color="F07840"/>
        </w:pBdr>
        <w:spacing w:after="240"/>
      </w:pPr>
    </w:p>
    <w:sdt>
      <w:sdtPr>
        <w:id w:val="298966278"/>
        <w:docPartObj>
          <w:docPartGallery w:val="Table of Contents"/>
          <w:docPartUnique/>
        </w:docPartObj>
      </w:sdtPr>
      <w:sdtContent>
        <w:p w14:paraId="199FF228" w14:textId="77777777" w:rsidR="00924B97" w:rsidRDefault="00000000">
          <w:pPr>
            <w:pStyle w:val="TOC1"/>
            <w:tabs>
              <w:tab w:val="clear" w:pos="9360"/>
              <w:tab w:val="right" w:leader="dot" w:pos="9359"/>
            </w:tabs>
          </w:pPr>
          <w:r>
            <w:fldChar w:fldCharType="begin"/>
          </w:r>
          <w:r>
            <w:rPr>
              <w:rStyle w:val="IndexLink"/>
            </w:rPr>
            <w:instrText xml:space="preserve"> TOC \o "1-1" \h</w:instrText>
          </w:r>
          <w:r>
            <w:rPr>
              <w:rStyle w:val="IndexLink"/>
            </w:rPr>
            <w:fldChar w:fldCharType="separate"/>
          </w:r>
          <w:hyperlink w:anchor="__RefHeading___Toc327_2922346544">
            <w:r>
              <w:rPr>
                <w:rStyle w:val="IndexLink"/>
              </w:rPr>
              <w:t>01 The Conversational Imperative</w:t>
            </w:r>
            <w:r>
              <w:rPr>
                <w:rStyle w:val="IndexLink"/>
              </w:rPr>
              <w:tab/>
              <w:t>4</w:t>
            </w:r>
          </w:hyperlink>
        </w:p>
        <w:p w14:paraId="2819A201" w14:textId="77777777" w:rsidR="00924B97" w:rsidRDefault="00000000">
          <w:pPr>
            <w:pStyle w:val="TOC1"/>
            <w:tabs>
              <w:tab w:val="clear" w:pos="9360"/>
              <w:tab w:val="right" w:leader="dot" w:pos="9359"/>
            </w:tabs>
          </w:pPr>
          <w:hyperlink w:anchor="__RefHeading___Toc329_2922346544">
            <w:r>
              <w:rPr>
                <w:rStyle w:val="IndexLink"/>
              </w:rPr>
              <w:t>02 What Motivational Interviewing Is</w:t>
            </w:r>
            <w:r>
              <w:rPr>
                <w:rStyle w:val="IndexLink"/>
              </w:rPr>
              <w:tab/>
              <w:t>4</w:t>
            </w:r>
          </w:hyperlink>
        </w:p>
        <w:p w14:paraId="7A68C00D" w14:textId="77777777" w:rsidR="00924B97" w:rsidRDefault="00000000">
          <w:pPr>
            <w:pStyle w:val="TOC1"/>
            <w:tabs>
              <w:tab w:val="clear" w:pos="9360"/>
              <w:tab w:val="right" w:leader="dot" w:pos="9359"/>
            </w:tabs>
          </w:pPr>
          <w:hyperlink w:anchor="__RefHeading___Toc331_2922346544">
            <w:r>
              <w:rPr>
                <w:rStyle w:val="IndexLink"/>
              </w:rPr>
              <w:t>03 Why MI Translates Well to Chatbots</w:t>
            </w:r>
            <w:r>
              <w:rPr>
                <w:rStyle w:val="IndexLink"/>
              </w:rPr>
              <w:tab/>
              <w:t>4</w:t>
            </w:r>
          </w:hyperlink>
        </w:p>
        <w:p w14:paraId="1F9C9BB3" w14:textId="77777777" w:rsidR="00924B97" w:rsidRDefault="00000000">
          <w:pPr>
            <w:pStyle w:val="TOC1"/>
            <w:tabs>
              <w:tab w:val="clear" w:pos="9360"/>
              <w:tab w:val="right" w:leader="dot" w:pos="9359"/>
            </w:tabs>
          </w:pPr>
          <w:hyperlink w:anchor="__RefHeading___Toc333_2922346544">
            <w:r>
              <w:rPr>
                <w:rStyle w:val="IndexLink"/>
              </w:rPr>
              <w:t>04 Beyond Conversational AI</w:t>
            </w:r>
            <w:r>
              <w:rPr>
                <w:rStyle w:val="IndexLink"/>
              </w:rPr>
              <w:tab/>
              <w:t>5</w:t>
            </w:r>
          </w:hyperlink>
        </w:p>
        <w:p w14:paraId="560DE7EF" w14:textId="77777777" w:rsidR="00924B97" w:rsidRDefault="00000000">
          <w:pPr>
            <w:pStyle w:val="TOC1"/>
            <w:tabs>
              <w:tab w:val="clear" w:pos="9360"/>
              <w:tab w:val="right" w:leader="dot" w:pos="9359"/>
            </w:tabs>
          </w:pPr>
          <w:hyperlink w:anchor="__RefHeading___Toc335_2922346544">
            <w:r>
              <w:rPr>
                <w:rStyle w:val="IndexLink"/>
              </w:rPr>
              <w:t>05 Use Case One: Online Sales</w:t>
            </w:r>
            <w:r>
              <w:rPr>
                <w:rStyle w:val="IndexLink"/>
              </w:rPr>
              <w:tab/>
              <w:t>6</w:t>
            </w:r>
          </w:hyperlink>
        </w:p>
        <w:p w14:paraId="6E87A7B8" w14:textId="77777777" w:rsidR="00924B97" w:rsidRDefault="00000000">
          <w:pPr>
            <w:pStyle w:val="TOC1"/>
            <w:tabs>
              <w:tab w:val="clear" w:pos="9360"/>
              <w:tab w:val="right" w:leader="dot" w:pos="9359"/>
            </w:tabs>
          </w:pPr>
          <w:hyperlink w:anchor="__RefHeading___Toc337_2922346544">
            <w:r>
              <w:rPr>
                <w:rStyle w:val="IndexLink"/>
              </w:rPr>
              <w:t>06 Use Case Two: Medication Adherence</w:t>
            </w:r>
            <w:r>
              <w:rPr>
                <w:rStyle w:val="IndexLink"/>
              </w:rPr>
              <w:tab/>
              <w:t>7</w:t>
            </w:r>
          </w:hyperlink>
        </w:p>
        <w:p w14:paraId="653A2D43" w14:textId="77777777" w:rsidR="00924B97" w:rsidRDefault="00000000">
          <w:pPr>
            <w:pStyle w:val="TOC1"/>
            <w:tabs>
              <w:tab w:val="clear" w:pos="9360"/>
              <w:tab w:val="right" w:leader="dot" w:pos="9359"/>
            </w:tabs>
          </w:pPr>
          <w:hyperlink w:anchor="__RefHeading___Toc339_2922346544">
            <w:r>
              <w:rPr>
                <w:rStyle w:val="IndexLink"/>
              </w:rPr>
              <w:t>07 Use Case Three: Mental Health</w:t>
            </w:r>
            <w:r>
              <w:rPr>
                <w:rStyle w:val="IndexLink"/>
              </w:rPr>
              <w:tab/>
              <w:t>8</w:t>
            </w:r>
          </w:hyperlink>
        </w:p>
        <w:p w14:paraId="03E74114" w14:textId="77777777" w:rsidR="00924B97" w:rsidRDefault="00000000">
          <w:pPr>
            <w:pStyle w:val="TOC1"/>
            <w:tabs>
              <w:tab w:val="clear" w:pos="9360"/>
              <w:tab w:val="right" w:leader="dot" w:pos="9359"/>
            </w:tabs>
          </w:pPr>
          <w:hyperlink w:anchor="__RefHeading___Toc341_2922346544">
            <w:r>
              <w:rPr>
                <w:rStyle w:val="IndexLink"/>
              </w:rPr>
              <w:t>08 Use Case Four: Chronic Disease</w:t>
            </w:r>
            <w:r>
              <w:rPr>
                <w:rStyle w:val="IndexLink"/>
              </w:rPr>
              <w:tab/>
              <w:t>9</w:t>
            </w:r>
          </w:hyperlink>
        </w:p>
        <w:p w14:paraId="59B858A8" w14:textId="77777777" w:rsidR="00924B97" w:rsidRDefault="00000000">
          <w:pPr>
            <w:pStyle w:val="TOC1"/>
            <w:tabs>
              <w:tab w:val="clear" w:pos="9360"/>
              <w:tab w:val="right" w:leader="dot" w:pos="9359"/>
            </w:tabs>
          </w:pPr>
          <w:hyperlink w:anchor="__RefHeading___Toc343_2922346544">
            <w:r>
              <w:rPr>
                <w:rStyle w:val="IndexLink"/>
              </w:rPr>
              <w:t>09 Cultural Tailoring: Beyond Translation</w:t>
            </w:r>
            <w:r>
              <w:rPr>
                <w:rStyle w:val="IndexLink"/>
              </w:rPr>
              <w:tab/>
              <w:t>11</w:t>
            </w:r>
          </w:hyperlink>
        </w:p>
        <w:p w14:paraId="102E0E4F" w14:textId="77777777" w:rsidR="00924B97" w:rsidRDefault="00000000">
          <w:pPr>
            <w:pStyle w:val="TOC1"/>
            <w:tabs>
              <w:tab w:val="clear" w:pos="9360"/>
              <w:tab w:val="right" w:leader="dot" w:pos="9359"/>
            </w:tabs>
          </w:pPr>
          <w:hyperlink w:anchor="__RefHeading___Toc345_2922346544">
            <w:r>
              <w:rPr>
                <w:rStyle w:val="IndexLink"/>
              </w:rPr>
              <w:t>10 Implementation Framework</w:t>
            </w:r>
            <w:r>
              <w:rPr>
                <w:rStyle w:val="IndexLink"/>
              </w:rPr>
              <w:tab/>
              <w:t>13</w:t>
            </w:r>
          </w:hyperlink>
        </w:p>
        <w:p w14:paraId="51E7A80B" w14:textId="77777777" w:rsidR="00924B97" w:rsidRDefault="00000000">
          <w:pPr>
            <w:pStyle w:val="TOC1"/>
            <w:tabs>
              <w:tab w:val="clear" w:pos="9360"/>
              <w:tab w:val="right" w:leader="dot" w:pos="9359"/>
            </w:tabs>
          </w:pPr>
          <w:hyperlink w:anchor="__RefHeading___Toc347_2922346544">
            <w:r>
              <w:rPr>
                <w:rStyle w:val="IndexLink"/>
              </w:rPr>
              <w:t>11 Risks and Limitations</w:t>
            </w:r>
            <w:r>
              <w:rPr>
                <w:rStyle w:val="IndexLink"/>
              </w:rPr>
              <w:tab/>
              <w:t>14</w:t>
            </w:r>
          </w:hyperlink>
        </w:p>
        <w:p w14:paraId="3F268271" w14:textId="77777777" w:rsidR="00924B97" w:rsidRDefault="00000000">
          <w:pPr>
            <w:pStyle w:val="TOC1"/>
            <w:tabs>
              <w:tab w:val="clear" w:pos="9360"/>
              <w:tab w:val="right" w:leader="dot" w:pos="9359"/>
            </w:tabs>
          </w:pPr>
          <w:hyperlink w:anchor="__RefHeading___Toc349_2922346544">
            <w:r>
              <w:rPr>
                <w:rStyle w:val="IndexLink"/>
              </w:rPr>
              <w:t>12 Conclusion</w:t>
            </w:r>
            <w:r>
              <w:rPr>
                <w:rStyle w:val="IndexLink"/>
              </w:rPr>
              <w:tab/>
              <w:t>15</w:t>
            </w:r>
          </w:hyperlink>
          <w:r>
            <w:rPr>
              <w:rStyle w:val="IndexLink"/>
            </w:rPr>
            <w:fldChar w:fldCharType="end"/>
          </w:r>
        </w:p>
      </w:sdtContent>
    </w:sdt>
    <w:p w14:paraId="4366F7BA" w14:textId="77777777" w:rsidR="00924B97" w:rsidRDefault="00924B97"/>
    <w:p w14:paraId="603A69C5" w14:textId="77777777" w:rsidR="00924B97" w:rsidRDefault="00000000">
      <w:r>
        <w:br w:type="page"/>
      </w:r>
    </w:p>
    <w:p w14:paraId="3BF8842E" w14:textId="77777777" w:rsidR="00924B97" w:rsidRDefault="00000000">
      <w:pPr>
        <w:pBdr>
          <w:bottom w:val="single" w:sz="14" w:space="6" w:color="F07840"/>
        </w:pBdr>
        <w:spacing w:after="140"/>
      </w:pPr>
      <w:r>
        <w:rPr>
          <w:rFonts w:ascii="Georgia" w:eastAsia="Georgia" w:hAnsi="Georgia" w:cs="Georgia"/>
          <w:b/>
          <w:bCs/>
          <w:color w:val="283038"/>
          <w:sz w:val="30"/>
          <w:szCs w:val="30"/>
        </w:rPr>
        <w:t>Executive Summary</w:t>
      </w:r>
    </w:p>
    <w:p w14:paraId="47F3BBD7" w14:textId="77777777" w:rsidR="00924B97" w:rsidRDefault="00000000">
      <w:pPr>
        <w:spacing w:after="160" w:line="276" w:lineRule="exact"/>
      </w:pPr>
      <w:r>
        <w:t>Conversational AI has evolved rapidly, outpacing effective strategies for its application. Most chatbots rely on a transactional model — ask, answer, sell, dispense — optimized for simple metrics like click-through rates or quick resolution, rather than supporting the quality of the human decision. This is the gap that Motivational Interviewing (MI) was designed to fill.</w:t>
      </w:r>
    </w:p>
    <w:p w14:paraId="6C7A0CDB" w14:textId="77777777" w:rsidR="00924B97" w:rsidRDefault="00000000">
      <w:pPr>
        <w:spacing w:after="160" w:line="276" w:lineRule="exact"/>
      </w:pPr>
      <w:r>
        <w:t>Developed by William R. Miller and Stephen Rollnick in the early 1980s, MI is an evidence-based counseling style that treats people as the experts on their own lives. Its purpose is to help individuals resolve the ambivalence inherent in making meaningful changes. Proven across more than two hundred randomized controlled trials, MI consistently outperforms direct persuasion across domains as varied as smoking cessation, diabetes self-management, and treatment adherence.</w:t>
      </w:r>
    </w:p>
    <w:p w14:paraId="214C2106" w14:textId="77777777" w:rsidR="00924B97" w:rsidRDefault="00000000">
      <w:pPr>
        <w:spacing w:after="160" w:line="276" w:lineRule="exact"/>
      </w:pPr>
      <w:r>
        <w:t xml:space="preserve">This paper makes a single argument: </w:t>
      </w:r>
      <w:r>
        <w:rPr>
          <w:b/>
          <w:bCs/>
          <w:color w:val="283038"/>
        </w:rPr>
        <w:t>when a chatbot is asked to influence a human decision, MI produces measurably better outcomes than scripted persuasion or task-completion patterns — and only a contextually engineered AI architecture can deliver MI at the fidelity those outcomes require.</w:t>
      </w:r>
      <w:r>
        <w:t xml:space="preserve"> A scripted conversational AI executes a flow. A prompted LLM chatbot improvises. A contextually engineered AI coach </w:t>
      </w:r>
      <w:proofErr w:type="gramStart"/>
      <w:r>
        <w:t>interprets:</w:t>
      </w:r>
      <w:proofErr w:type="gramEnd"/>
      <w:r>
        <w:t xml:space="preserve"> it understands what the user is doing in MI terms, what the user has said and valued in prior sessions, and what their cultural context implies, and chooses its next move from that interpretation rather than from a script or a default.</w:t>
      </w:r>
    </w:p>
    <w:p w14:paraId="009BB994" w14:textId="77777777" w:rsidR="00924B97" w:rsidRDefault="00000000">
      <w:pPr>
        <w:spacing w:after="160" w:line="276" w:lineRule="exact"/>
      </w:pPr>
      <w:r>
        <w:t xml:space="preserve">The implications: e-commerce and lead-qualification bots that adopt this architecture see higher conversion and lower buyer regret; medication-adherence bots improve refill rates and persistence; mental-health support bots improve treatment engagement and reduce dropout; chronic-disease bots improve self-management behaviors and clinical biomarkers. Across all of these, deep-structure cultural tailoring of the kind Ken </w:t>
      </w:r>
      <w:proofErr w:type="spellStart"/>
      <w:r>
        <w:t>Resnicow</w:t>
      </w:r>
      <w:proofErr w:type="spellEnd"/>
      <w:r>
        <w:t xml:space="preserve"> and colleagues established two decades ago — embedded as a first-class architectural layer rather than bolted on as translation — materially outperforms culturally generic implementations.</w:t>
      </w:r>
    </w:p>
    <w:p w14:paraId="712B006F" w14:textId="77777777" w:rsidR="00924B97" w:rsidRDefault="00000000">
      <w:r>
        <w:br w:type="page"/>
      </w:r>
    </w:p>
    <w:p w14:paraId="19BC9FD5" w14:textId="77777777" w:rsidR="00924B97" w:rsidRDefault="00000000">
      <w:pPr>
        <w:pStyle w:val="Heading1"/>
        <w:pBdr>
          <w:bottom w:val="single" w:sz="14" w:space="6" w:color="F07840"/>
        </w:pBdr>
        <w:spacing w:before="0"/>
      </w:pPr>
      <w:bookmarkStart w:id="0" w:name="__RefHeading___Toc327_2922346544"/>
      <w:bookmarkEnd w:id="0"/>
      <w:proofErr w:type="gramStart"/>
      <w:r>
        <w:rPr>
          <w:color w:val="F07840"/>
        </w:rPr>
        <w:t xml:space="preserve">01  </w:t>
      </w:r>
      <w:r>
        <w:t>The</w:t>
      </w:r>
      <w:proofErr w:type="gramEnd"/>
      <w:r>
        <w:t xml:space="preserve"> Conversational Imperative</w:t>
      </w:r>
    </w:p>
    <w:p w14:paraId="744C76D5" w14:textId="77777777" w:rsidR="00924B97" w:rsidRDefault="00000000">
      <w:pPr>
        <w:spacing w:after="160" w:line="276" w:lineRule="exact"/>
      </w:pPr>
      <w:r>
        <w:t>Roughly two-thirds of consumer interactions with brands now involve some form of conversational interface. In healthcare, virtual care platforms, pharmacy reminders, and coaches for chronic-disease management have moved from pilot programs to standard offerings. The interface has changed; the playbook largely has not.</w:t>
      </w:r>
    </w:p>
    <w:p w14:paraId="3477BC05" w14:textId="77777777" w:rsidR="00924B97" w:rsidRDefault="00000000">
      <w:pPr>
        <w:spacing w:after="160" w:line="276" w:lineRule="exact"/>
      </w:pPr>
      <w:r>
        <w:t xml:space="preserve">Decision-making requires resource management; you need energy and time to change habits and routines. People have wishes and dreams of a happier, healthier lifestyle, but when we meet them with pressure and advice, their ambivalence hardens into resistance. Met with curiosity, it loosens into language about why change might be worth trying. </w:t>
      </w:r>
      <w:r>
        <w:rPr>
          <w:b/>
          <w:bCs/>
          <w:color w:val="283038"/>
        </w:rPr>
        <w:t>MI is the discipline of exploring ambivalence to build motivation.</w:t>
      </w:r>
    </w:p>
    <w:p w14:paraId="7074E235" w14:textId="77777777" w:rsidR="00924B97" w:rsidRDefault="00000000">
      <w:pPr>
        <w:pStyle w:val="Heading1"/>
        <w:pBdr>
          <w:bottom w:val="single" w:sz="14" w:space="6" w:color="F07840"/>
        </w:pBdr>
      </w:pPr>
      <w:bookmarkStart w:id="1" w:name="__RefHeading___Toc329_2922346544"/>
      <w:bookmarkEnd w:id="1"/>
      <w:proofErr w:type="gramStart"/>
      <w:r>
        <w:rPr>
          <w:color w:val="F07840"/>
        </w:rPr>
        <w:t xml:space="preserve">02  </w:t>
      </w:r>
      <w:r>
        <w:t>What</w:t>
      </w:r>
      <w:proofErr w:type="gramEnd"/>
      <w:r>
        <w:t xml:space="preserve"> Motivational Interviewing Is</w:t>
      </w:r>
    </w:p>
    <w:p w14:paraId="4F16F5A7" w14:textId="77777777" w:rsidR="00924B97" w:rsidRDefault="00000000">
      <w:pPr>
        <w:spacing w:after="160" w:line="276" w:lineRule="exact"/>
      </w:pPr>
      <w:r>
        <w:t>MI is a “collaborative, goal-oriented style of communication with particular attention to the language of change,” as Miller and Rollnick define it. It assumes that people contain within themselves both the reasons to change and the reasons not to change, and that the practitioner’s job is not to install motivation but to evoke it.</w:t>
      </w:r>
    </w:p>
    <w:p w14:paraId="3EDADECF" w14:textId="77777777" w:rsidR="00924B97" w:rsidRDefault="00000000">
      <w:pPr>
        <w:pStyle w:val="Heading2"/>
      </w:pPr>
      <w:r>
        <w:t>The Spirit of MI</w:t>
      </w:r>
    </w:p>
    <w:p w14:paraId="6DA28E8D" w14:textId="77777777" w:rsidR="00924B97" w:rsidRDefault="00000000">
      <w:pPr>
        <w:spacing w:after="160" w:line="276" w:lineRule="exact"/>
      </w:pPr>
      <w:r>
        <w:t xml:space="preserve">MI is first a stance, not a script. Miller and Rollnick describe its underlying spirit as four interlocking dispositions: </w:t>
      </w:r>
      <w:r>
        <w:rPr>
          <w:b/>
          <w:bCs/>
          <w:color w:val="283038"/>
        </w:rPr>
        <w:t>partnership</w:t>
      </w:r>
      <w:r>
        <w:t xml:space="preserve"> (the conversation is between equals), </w:t>
      </w:r>
      <w:r>
        <w:rPr>
          <w:b/>
          <w:bCs/>
          <w:color w:val="283038"/>
        </w:rPr>
        <w:t>acceptance</w:t>
      </w:r>
      <w:r>
        <w:t xml:space="preserve"> (the person’s autonomy and worth are taken as given), </w:t>
      </w:r>
      <w:r>
        <w:rPr>
          <w:b/>
          <w:bCs/>
          <w:color w:val="283038"/>
        </w:rPr>
        <w:t>compassion</w:t>
      </w:r>
      <w:r>
        <w:t xml:space="preserve"> (the practitioner’s priority is the welfare of the other), and </w:t>
      </w:r>
      <w:r>
        <w:rPr>
          <w:b/>
          <w:bCs/>
          <w:color w:val="283038"/>
        </w:rPr>
        <w:t>evocation</w:t>
      </w:r>
      <w:r>
        <w:t xml:space="preserve"> (motivation is drawn out, not poured in). Without these, the techniques become manipulation in slower clothing.</w:t>
      </w:r>
    </w:p>
    <w:p w14:paraId="1043B1E2" w14:textId="77777777" w:rsidR="00924B97" w:rsidRDefault="00000000">
      <w:pPr>
        <w:pStyle w:val="Heading2"/>
      </w:pPr>
      <w:r>
        <w:t>The Four Processes</w:t>
      </w:r>
    </w:p>
    <w:p w14:paraId="100BEBEB" w14:textId="77777777" w:rsidR="00924B97" w:rsidRDefault="00000000">
      <w:pPr>
        <w:spacing w:after="160" w:line="276" w:lineRule="exact"/>
      </w:pPr>
      <w:r>
        <w:t xml:space="preserve">MI proceeds through four processes — </w:t>
      </w:r>
      <w:r>
        <w:rPr>
          <w:b/>
          <w:bCs/>
          <w:color w:val="283038"/>
        </w:rPr>
        <w:t>Engage, Focus, Evoke, Plan</w:t>
      </w:r>
      <w:r>
        <w:t>. Skipping a process tends to break the next one: a bot that begins planning before it has engaged feels brittle and pushy.</w:t>
      </w:r>
    </w:p>
    <w:p w14:paraId="34664E6B" w14:textId="77777777" w:rsidR="00924B97" w:rsidRDefault="00000000">
      <w:pPr>
        <w:pStyle w:val="Heading2"/>
      </w:pPr>
      <w:r>
        <w:t xml:space="preserve">OARS — the </w:t>
      </w:r>
      <w:proofErr w:type="spellStart"/>
      <w:r>
        <w:t>Microskills</w:t>
      </w:r>
      <w:proofErr w:type="spellEnd"/>
    </w:p>
    <w:p w14:paraId="53DB339D" w14:textId="77777777" w:rsidR="00924B97" w:rsidRDefault="00000000">
      <w:pPr>
        <w:spacing w:after="160" w:line="276" w:lineRule="exact"/>
      </w:pPr>
      <w:r>
        <w:t xml:space="preserve">The day-to-day mechanics are summarized as </w:t>
      </w:r>
      <w:r>
        <w:rPr>
          <w:b/>
          <w:bCs/>
          <w:color w:val="283038"/>
        </w:rPr>
        <w:t>OARS</w:t>
      </w:r>
      <w:r>
        <w:t>: Open questions, Affirmations, Reflective listening, and Summaries. Reflective listening — offering a precise, sometimes deepened, version of what the person just said — is the workhorse of the method.</w:t>
      </w:r>
    </w:p>
    <w:p w14:paraId="1B57F896" w14:textId="77777777" w:rsidR="00924B97" w:rsidRDefault="00000000">
      <w:pPr>
        <w:pStyle w:val="Heading2"/>
      </w:pPr>
      <w:r>
        <w:t>Change Talk</w:t>
      </w:r>
    </w:p>
    <w:p w14:paraId="18E85136" w14:textId="77777777" w:rsidR="00924B97" w:rsidRDefault="00000000">
      <w:pPr>
        <w:spacing w:after="160" w:line="276" w:lineRule="exact"/>
      </w:pPr>
      <w:r>
        <w:t xml:space="preserve">MI practitioners attend to </w:t>
      </w:r>
      <w:r>
        <w:rPr>
          <w:b/>
          <w:bCs/>
          <w:color w:val="283038"/>
        </w:rPr>
        <w:t>change talk</w:t>
      </w:r>
      <w:r>
        <w:t xml:space="preserve"> (utterances favoring change) and </w:t>
      </w:r>
      <w:r>
        <w:rPr>
          <w:b/>
          <w:bCs/>
          <w:color w:val="283038"/>
        </w:rPr>
        <w:t>resistance</w:t>
      </w:r>
      <w:r>
        <w:t xml:space="preserve"> (utterances favoring the status quo, reasons against change). The density of client change talk in a session is one of the strongest predictors of subsequent behavior change.</w:t>
      </w:r>
    </w:p>
    <w:p w14:paraId="2380395E" w14:textId="77777777" w:rsidR="00924B97" w:rsidRDefault="00000000">
      <w:pPr>
        <w:pStyle w:val="Heading1"/>
        <w:pBdr>
          <w:bottom w:val="single" w:sz="14" w:space="6" w:color="F07840"/>
        </w:pBdr>
      </w:pPr>
      <w:bookmarkStart w:id="2" w:name="__RefHeading___Toc331_2922346544"/>
      <w:bookmarkEnd w:id="2"/>
      <w:proofErr w:type="gramStart"/>
      <w:r>
        <w:rPr>
          <w:color w:val="F07840"/>
        </w:rPr>
        <w:t xml:space="preserve">03  </w:t>
      </w:r>
      <w:r>
        <w:t>Why</w:t>
      </w:r>
      <w:proofErr w:type="gramEnd"/>
      <w:r>
        <w:t xml:space="preserve"> MI Translates Well to Chatbots</w:t>
      </w:r>
    </w:p>
    <w:p w14:paraId="0925A032" w14:textId="77777777" w:rsidR="00924B97" w:rsidRDefault="00000000">
      <w:pPr>
        <w:spacing w:after="160" w:line="276" w:lineRule="exact"/>
      </w:pPr>
      <w:r>
        <w:t>Three properties of MI make it a strong fit for text-based conversational agents.</w:t>
      </w:r>
    </w:p>
    <w:p w14:paraId="037F57DD" w14:textId="77777777" w:rsidR="00924B97" w:rsidRDefault="00000000">
      <w:pPr>
        <w:spacing w:after="160" w:line="276" w:lineRule="exact"/>
      </w:pPr>
      <w:r>
        <w:rPr>
          <w:b/>
          <w:bCs/>
          <w:color w:val="283038"/>
        </w:rPr>
        <w:t xml:space="preserve">It is structured enough to be encoded. </w:t>
      </w:r>
      <w:r>
        <w:t>The OnePass System is designed to evaluate practitioner MI competency. Our AI agent’s outputs can be evaluated against the same rubric used to certify human counselors.</w:t>
      </w:r>
    </w:p>
    <w:p w14:paraId="475A6784" w14:textId="77777777" w:rsidR="00924B97" w:rsidRDefault="00000000">
      <w:pPr>
        <w:spacing w:after="160" w:line="276" w:lineRule="exact"/>
      </w:pPr>
      <w:r>
        <w:rPr>
          <w:b/>
          <w:bCs/>
          <w:color w:val="283038"/>
        </w:rPr>
        <w:t xml:space="preserve">It removes the social friction that makes humans bad at MI. </w:t>
      </w:r>
      <w:r>
        <w:t>Human practitioners struggle with MI for predictable reasons: they want to fix things, they get tired, they revert to advice-giving under time pressure. A well-designed agent has none of these failure modes — it does not get tired, it can be calibrated to resist the “righting reflex,” and it can be paced to leave room for reflection.</w:t>
      </w:r>
    </w:p>
    <w:p w14:paraId="72420F90" w14:textId="77777777" w:rsidR="00924B97" w:rsidRDefault="00000000">
      <w:pPr>
        <w:spacing w:after="160" w:line="276" w:lineRule="exact"/>
      </w:pPr>
      <w:r>
        <w:rPr>
          <w:b/>
          <w:bCs/>
          <w:color w:val="283038"/>
        </w:rPr>
        <w:t xml:space="preserve">Its evidence base is deep and broad. </w:t>
      </w:r>
      <w:r>
        <w:t>MI has been tested in more than two hundred randomized trials across substance use, smoking, diet, exercise, medication adherence, and treatment engagement. Effect sizes are typically small to moderate but remarkably consistent — precisely the profile that scales well when an intervention is delivered millions of times per week. A small per-conversation lift in change talk, multiplied across a population, is a large public-health effect.</w:t>
      </w:r>
    </w:p>
    <w:p w14:paraId="6B5BF4A1" w14:textId="77777777" w:rsidR="00924B97" w:rsidRDefault="00000000">
      <w:pPr>
        <w:spacing w:after="160" w:line="276" w:lineRule="exact"/>
      </w:pPr>
      <w:r>
        <w:t>Three things change when MI moves from a clinic chair to a chat thread. Nonverbal cues are gone, so the agent must listen explicitly and reflect what it hears in writing. The user can leave at any moment, so engagement must be earned in every turn. And the agent can be evaluated and improved at scale — every conversation logged, codable, labelable. None of this is achievable with a generic conversational AI; it requires a fundamentally different architecture.</w:t>
      </w:r>
    </w:p>
    <w:p w14:paraId="41C4C54A" w14:textId="77777777" w:rsidR="00924B97" w:rsidRDefault="00000000">
      <w:pPr>
        <w:pStyle w:val="Heading1"/>
        <w:pBdr>
          <w:bottom w:val="single" w:sz="14" w:space="6" w:color="F07840"/>
        </w:pBdr>
      </w:pPr>
      <w:bookmarkStart w:id="3" w:name="__RefHeading___Toc333_2922346544"/>
      <w:bookmarkEnd w:id="3"/>
      <w:proofErr w:type="gramStart"/>
      <w:r>
        <w:rPr>
          <w:color w:val="F07840"/>
        </w:rPr>
        <w:t xml:space="preserve">04  </w:t>
      </w:r>
      <w:r>
        <w:t>Beyond</w:t>
      </w:r>
      <w:proofErr w:type="gramEnd"/>
      <w:r>
        <w:t xml:space="preserve"> Conversational AI</w:t>
      </w:r>
    </w:p>
    <w:p w14:paraId="34D18B04" w14:textId="77777777" w:rsidR="00924B97" w:rsidRDefault="00000000">
      <w:pPr>
        <w:pStyle w:val="Heading2"/>
      </w:pPr>
      <w:r>
        <w:t>The Contextually Engineered Architecture</w:t>
      </w:r>
    </w:p>
    <w:p w14:paraId="65CED7D7" w14:textId="77777777" w:rsidR="00924B97" w:rsidRDefault="00000000">
      <w:pPr>
        <w:spacing w:after="160" w:line="276" w:lineRule="exact"/>
      </w:pPr>
      <w:r>
        <w:t>Two terms get used interchangeably that should not be: conversational AI and contextually engineered AI. The distinction is foundational.</w:t>
      </w:r>
    </w:p>
    <w:p w14:paraId="4B3B4692" w14:textId="77777777" w:rsidR="00924B97" w:rsidRDefault="00000000">
      <w:pPr>
        <w:spacing w:after="160" w:line="276" w:lineRule="exact"/>
      </w:pPr>
      <w:r>
        <w:rPr>
          <w:b/>
          <w:bCs/>
          <w:color w:val="283038"/>
        </w:rPr>
        <w:t>Conversational AI is defined by the interface</w:t>
      </w:r>
      <w:r>
        <w:t xml:space="preserve"> — turn-taking, natural language in and out. It includes everything from a 2010 IVR phone tree to a state-of-the-art LLM agent. Saying a system is “conversational” tells you how the user interacts with it; it tells you almost nothing about what is happening underneath.</w:t>
      </w:r>
    </w:p>
    <w:p w14:paraId="3C0F255B" w14:textId="77777777" w:rsidR="00924B97" w:rsidRDefault="00000000">
      <w:pPr>
        <w:spacing w:after="160" w:line="276" w:lineRule="exact"/>
      </w:pPr>
      <w:r>
        <w:rPr>
          <w:b/>
          <w:bCs/>
          <w:color w:val="283038"/>
        </w:rPr>
        <w:t>Contextually engineered AI is defined by what has been done to the model’s working environment</w:t>
      </w:r>
      <w:r>
        <w:t xml:space="preserve"> — the deliberate construction of everything the model sees at inference time: system prompt, retrieved documents, tool definitions, conversation history, user profile, examples, schemas, and the structure that orders all of it. For most agentic tasks, what determines quality is not the model and not the prompt in isolation, but the curated context the model is reasoning over.</w:t>
      </w:r>
    </w:p>
    <w:p w14:paraId="2C18F77D" w14:textId="77777777" w:rsidR="00924B97" w:rsidRDefault="00000000">
      <w:pPr>
        <w:spacing w:after="160" w:line="276" w:lineRule="exact"/>
      </w:pPr>
      <w:r>
        <w:t>These are not synonyms and they cut on different axes. A chatbot can be conversational and barely context-engineered — most call-center bots are exactly that. The interesting region is the overlap: a conversational system that is also context-engineered, where the model at every turn operates against a deliberately curated working memory, retrieved domain knowledge, a structured user profile, and an explicit task scaffold.</w:t>
      </w:r>
    </w:p>
    <w:p w14:paraId="54DB51AC" w14:textId="77777777" w:rsidR="00924B97" w:rsidRDefault="00000000">
      <w:pPr>
        <w:spacing w:after="160" w:line="276" w:lineRule="exact"/>
      </w:pPr>
      <w:r>
        <w:t>For an MI coach, the distinction matters enormously. An MI-fidelity bot built as a one-shot system prompt over a generic LLM is conversational. An MI bot whose context at each turn includes the user’s stated values from prior sessions, their prior change talk by category, the current OnePass-coded conversational state, retrieved evidence relevant to the user’s specific condition, and a deep-structure cultural model — that bot is conversational and context-engineered. The second is what gets you to clinical-grade behavior change.</w:t>
      </w:r>
    </w:p>
    <w:p w14:paraId="7CD91676" w14:textId="77777777" w:rsidR="00924B97" w:rsidRDefault="00000000">
      <w:pPr>
        <w:spacing w:after="160" w:line="276" w:lineRule="exact"/>
      </w:pPr>
      <w:r>
        <w:t>In a contextually engineered MI coach, the architecture has three layered interpretive components:</w:t>
      </w:r>
    </w:p>
    <w:tbl>
      <w:tblPr>
        <w:tblW w:w="9360" w:type="dxa"/>
        <w:tblLayout w:type="fixed"/>
        <w:tblCellMar>
          <w:top w:w="140" w:type="dxa"/>
          <w:left w:w="220" w:type="dxa"/>
          <w:bottom w:w="140" w:type="dxa"/>
          <w:right w:w="200" w:type="dxa"/>
        </w:tblCellMar>
        <w:tblLook w:val="04A0" w:firstRow="1" w:lastRow="0" w:firstColumn="1" w:lastColumn="0" w:noHBand="0" w:noVBand="1"/>
      </w:tblPr>
      <w:tblGrid>
        <w:gridCol w:w="9360"/>
      </w:tblGrid>
      <w:tr w:rsidR="00924B97" w14:paraId="266B377B" w14:textId="77777777">
        <w:tc>
          <w:tcPr>
            <w:tcW w:w="9360" w:type="dxa"/>
            <w:tcBorders>
              <w:top w:val="single" w:sz="2" w:space="0" w:color="F4F2EF"/>
              <w:left w:val="single" w:sz="28" w:space="0" w:color="F07840"/>
              <w:bottom w:val="single" w:sz="2" w:space="0" w:color="F4F2EF"/>
              <w:right w:val="single" w:sz="2" w:space="0" w:color="F4F2EF"/>
            </w:tcBorders>
            <w:shd w:val="clear" w:color="auto" w:fill="F4F2EF"/>
          </w:tcPr>
          <w:p w14:paraId="2F3FAB0C" w14:textId="77777777" w:rsidR="00924B97" w:rsidRDefault="00000000">
            <w:pPr>
              <w:spacing w:after="120" w:line="276" w:lineRule="exact"/>
            </w:pPr>
            <w:r>
              <w:rPr>
                <w:b/>
                <w:bCs/>
                <w:color w:val="283038"/>
              </w:rPr>
              <w:t xml:space="preserve">The MI behavioral layer.  </w:t>
            </w:r>
            <w:r>
              <w:t>Each user utterance is interpreted against the published MI rubric — change talk vs. ambivalence and resistance talk, subcategory, current MI process stage, and what a competent reflection would look like. The model’s next move is selected from that interpretation, not from a default.</w:t>
            </w:r>
          </w:p>
          <w:p w14:paraId="3891C0B4" w14:textId="77777777" w:rsidR="00924B97" w:rsidRDefault="00000000">
            <w:pPr>
              <w:spacing w:after="120" w:line="276" w:lineRule="exact"/>
            </w:pPr>
            <w:r>
              <w:rPr>
                <w:b/>
                <w:bCs/>
                <w:color w:val="283038"/>
              </w:rPr>
              <w:t xml:space="preserve">The user </w:t>
            </w:r>
            <w:proofErr w:type="gramStart"/>
            <w:r>
              <w:rPr>
                <w:b/>
                <w:bCs/>
                <w:color w:val="283038"/>
              </w:rPr>
              <w:t>model</w:t>
            </w:r>
            <w:proofErr w:type="gramEnd"/>
            <w:r>
              <w:rPr>
                <w:b/>
                <w:bCs/>
                <w:color w:val="283038"/>
              </w:rPr>
              <w:t xml:space="preserve">.  </w:t>
            </w:r>
            <w:r>
              <w:t>A persistent, structured profile — stated values, prior change talk, prior commitments, prior lapses, preferred metaphors — is composed into the model’s working context at every turn. The result is a coach that gets better with the user over time rather than starting from zero each session.</w:t>
            </w:r>
          </w:p>
          <w:p w14:paraId="4A9A8EF5" w14:textId="77777777" w:rsidR="00924B97" w:rsidRDefault="00000000">
            <w:pPr>
              <w:spacing w:line="276" w:lineRule="exact"/>
            </w:pPr>
            <w:r>
              <w:rPr>
                <w:b/>
                <w:bCs/>
                <w:color w:val="283038"/>
              </w:rPr>
              <w:t xml:space="preserve">The cultural model.  </w:t>
            </w:r>
            <w:r>
              <w:t>Deep-structure cultural assumptions — how decisions are made in the user’s social world, what role faith and family play, where trust in the medical system stands, how authority is framed — are encoded as an explicit layer the coach uses to build rapport and motivation by connecting values to reasons for change. (See Section 09.)</w:t>
            </w:r>
          </w:p>
        </w:tc>
      </w:tr>
    </w:tbl>
    <w:p w14:paraId="7A3C216D" w14:textId="77777777" w:rsidR="00924B97" w:rsidRDefault="00924B97">
      <w:pPr>
        <w:spacing w:after="120"/>
      </w:pPr>
    </w:p>
    <w:p w14:paraId="6FDB5831" w14:textId="77777777" w:rsidR="00924B97" w:rsidRDefault="00000000">
      <w:pPr>
        <w:spacing w:after="160" w:line="276" w:lineRule="exact"/>
      </w:pPr>
      <w:r>
        <w:t xml:space="preserve">These three layers compose. The same MI move — an evocative open question, say — is rendered differently when the user model carries the user’s own previously stated reasons for change, and rendered differently again when the cultural model interprets those reasons against a deep-structure framing. </w:t>
      </w:r>
      <w:r>
        <w:rPr>
          <w:b/>
          <w:bCs/>
          <w:color w:val="283038"/>
        </w:rPr>
        <w:t>Personalization is not added at the language layer; it is engineered at every level of the interpretive stack.</w:t>
      </w:r>
    </w:p>
    <w:p w14:paraId="4CD34AE8" w14:textId="77777777" w:rsidR="00924B97" w:rsidRDefault="00000000">
      <w:pPr>
        <w:spacing w:after="160" w:line="276" w:lineRule="exact"/>
      </w:pPr>
      <w:r>
        <w:t>Most “AI coaches” in the market today are conversational only — a clever prompt and a capable model, with whatever cultural and clinical assumptions happened to be densest in the training data. Chronilogix is built on the opposite premise. The conversational interface is the visible surface; the contextually engineered architecture beneath it is where the science lives, and where outcomes are won.</w:t>
      </w:r>
    </w:p>
    <w:p w14:paraId="60ED90E7" w14:textId="77777777" w:rsidR="00924B97" w:rsidRDefault="00000000">
      <w:pPr>
        <w:pStyle w:val="Heading1"/>
        <w:pBdr>
          <w:bottom w:val="single" w:sz="14" w:space="6" w:color="F07840"/>
        </w:pBdr>
      </w:pPr>
      <w:bookmarkStart w:id="4" w:name="__RefHeading___Toc335_2922346544"/>
      <w:bookmarkEnd w:id="4"/>
      <w:proofErr w:type="gramStart"/>
      <w:r>
        <w:rPr>
          <w:color w:val="F07840"/>
        </w:rPr>
        <w:t xml:space="preserve">05  </w:t>
      </w:r>
      <w:r>
        <w:t>Use</w:t>
      </w:r>
      <w:proofErr w:type="gramEnd"/>
      <w:r>
        <w:t xml:space="preserve"> Case One: Online Sales</w:t>
      </w:r>
    </w:p>
    <w:p w14:paraId="14DCD9F8" w14:textId="77777777" w:rsidR="00924B97" w:rsidRDefault="00000000">
      <w:pPr>
        <w:pStyle w:val="Heading2"/>
      </w:pPr>
      <w:r>
        <w:t>High-Consideration Commerce</w:t>
      </w:r>
    </w:p>
    <w:p w14:paraId="77A2AFB8" w14:textId="77777777" w:rsidR="00924B97" w:rsidRDefault="00000000">
      <w:pPr>
        <w:spacing w:after="160" w:line="276" w:lineRule="exact"/>
      </w:pPr>
      <w:r>
        <w:t>The dominant pattern in commerce chatbots is a funnel: greet, qualify, recommend, push to checkout. It works for low-consideration purchases. It often fails expensively for high-consideration items — software subscriptions, financial products, anything with a meaningful price tag or commitment. In those categories, buyers arrive ambivalent. Pressure increases what Miller and Rollnick call “discord” — the sense that the practitioner is on the wrong side of the table — and discord predicts cart abandonment and post-purchase regret.</w:t>
      </w:r>
    </w:p>
    <w:p w14:paraId="373C21A0" w14:textId="77777777" w:rsidR="00924B97" w:rsidRDefault="00000000">
      <w:pPr>
        <w:spacing w:after="160" w:line="276" w:lineRule="exact"/>
      </w:pPr>
      <w:r>
        <w:t>An MI-styled sales agent treats the buyer’s ambivalence as data, not as an obstacle. It opens with engagement rather than qualification, reflects what the buyer says before recommending anything, and asks evocative questions that elicit the buyer’s own reasons. Counterintuitively, this often shortens the conversation: when buyers feel heard early, they reveal their real constraints more quickly.</w:t>
      </w:r>
    </w:p>
    <w:p w14:paraId="18E2D3AA" w14:textId="77777777" w:rsidR="00924B97" w:rsidRDefault="00000000">
      <w:pPr>
        <w:spacing w:before="60" w:after="80"/>
      </w:pPr>
      <w:r>
        <w:rPr>
          <w:b/>
          <w:bCs/>
          <w:color w:val="F07840"/>
          <w:spacing w:val="30"/>
          <w:sz w:val="16"/>
          <w:szCs w:val="16"/>
        </w:rPr>
        <w:t>ILLUSTRATIVE DIALOGUE · ENTERPRISE SAAS PURCHASE</w:t>
      </w:r>
    </w:p>
    <w:tbl>
      <w:tblPr>
        <w:tblW w:w="9360" w:type="dxa"/>
        <w:tblLayout w:type="fixed"/>
        <w:tblCellMar>
          <w:top w:w="140" w:type="dxa"/>
          <w:left w:w="220" w:type="dxa"/>
          <w:bottom w:w="140" w:type="dxa"/>
          <w:right w:w="200" w:type="dxa"/>
        </w:tblCellMar>
        <w:tblLook w:val="04A0" w:firstRow="1" w:lastRow="0" w:firstColumn="1" w:lastColumn="0" w:noHBand="0" w:noVBand="1"/>
      </w:tblPr>
      <w:tblGrid>
        <w:gridCol w:w="9360"/>
      </w:tblGrid>
      <w:tr w:rsidR="00924B97" w14:paraId="649292A2" w14:textId="77777777">
        <w:tc>
          <w:tcPr>
            <w:tcW w:w="9360" w:type="dxa"/>
            <w:tcBorders>
              <w:top w:val="single" w:sz="2" w:space="0" w:color="F4F2EF"/>
              <w:left w:val="single" w:sz="28" w:space="0" w:color="F07840"/>
              <w:bottom w:val="single" w:sz="2" w:space="0" w:color="F4F2EF"/>
              <w:right w:val="single" w:sz="2" w:space="0" w:color="F4F2EF"/>
            </w:tcBorders>
            <w:shd w:val="clear" w:color="auto" w:fill="F4F2EF"/>
          </w:tcPr>
          <w:p w14:paraId="50DEE0BF" w14:textId="77777777" w:rsidR="00924B97" w:rsidRDefault="00000000">
            <w:pPr>
              <w:spacing w:after="100" w:line="264" w:lineRule="exact"/>
            </w:pPr>
            <w:r>
              <w:rPr>
                <w:b/>
                <w:bCs/>
                <w:color w:val="283038"/>
                <w:sz w:val="20"/>
                <w:szCs w:val="20"/>
              </w:rPr>
              <w:t xml:space="preserve">Buyer: </w:t>
            </w:r>
            <w:r>
              <w:rPr>
                <w:sz w:val="20"/>
                <w:szCs w:val="20"/>
              </w:rPr>
              <w:t>I’m not sure if your enterprise plan is worth it. The starter plan looks like it covers most of what we need.</w:t>
            </w:r>
          </w:p>
          <w:p w14:paraId="1160DDE0" w14:textId="77777777" w:rsidR="00924B97" w:rsidRDefault="00000000">
            <w:pPr>
              <w:spacing w:after="100" w:line="264" w:lineRule="exact"/>
            </w:pPr>
            <w:r>
              <w:rPr>
                <w:b/>
                <w:bCs/>
                <w:color w:val="6A7178"/>
                <w:sz w:val="20"/>
                <w:szCs w:val="20"/>
              </w:rPr>
              <w:t xml:space="preserve">Bot (conventional): </w:t>
            </w:r>
            <w:r>
              <w:rPr>
                <w:sz w:val="20"/>
                <w:szCs w:val="20"/>
              </w:rPr>
              <w:t>The enterprise plan includes SSO, advanced analytics, and a dedicated success manager. Most teams of your size choose it. Want me to start a trial?</w:t>
            </w:r>
          </w:p>
          <w:p w14:paraId="4C2C8FB9" w14:textId="77777777" w:rsidR="00924B97" w:rsidRDefault="00000000">
            <w:r>
              <w:rPr>
                <w:b/>
                <w:bCs/>
                <w:color w:val="F07840"/>
                <w:sz w:val="20"/>
                <w:szCs w:val="20"/>
              </w:rPr>
              <w:t xml:space="preserve">Bot (MI-aligned): </w:t>
            </w:r>
            <w:r>
              <w:rPr>
                <w:sz w:val="20"/>
                <w:szCs w:val="20"/>
              </w:rPr>
              <w:t>It sounds like the starter plan covers most of your needs and you’re weighing whether the extras justify the cost. What would have to be true about the enterprise plan to make it clearly worth the difference for your team?</w:t>
            </w:r>
          </w:p>
        </w:tc>
      </w:tr>
    </w:tbl>
    <w:p w14:paraId="6610364D" w14:textId="77777777" w:rsidR="00924B97" w:rsidRDefault="00924B97">
      <w:pPr>
        <w:spacing w:after="120"/>
      </w:pPr>
    </w:p>
    <w:p w14:paraId="170025EE" w14:textId="77777777" w:rsidR="00924B97" w:rsidRDefault="00000000">
      <w:pPr>
        <w:spacing w:after="160" w:line="276" w:lineRule="exact"/>
      </w:pPr>
      <w:r>
        <w:t>The MI-aligned response does three things at once. It reflects what the buyer said, surfaces the implicit decision criterion (what would justify the difference), and puts the buyer — not the bot — in the position of articulating value. In internal pilots conducted by several enterprise SaaS vendors, this style of opening has been associated with higher rates of qualified-pipeline conversion and lower churn in the first ninety days post-purchase, because buyers who articulate their own reasons for buying are more committed to making the product work.</w:t>
      </w:r>
    </w:p>
    <w:p w14:paraId="7BBBDBE5" w14:textId="77777777" w:rsidR="00924B97" w:rsidRDefault="00000000">
      <w:pPr>
        <w:spacing w:after="160" w:line="276" w:lineRule="exact"/>
      </w:pPr>
      <w:r>
        <w:t>MI is not a license for evasion. An MI-styled sales bot must still present pricing transparently, must not feign understanding it does not have, and must not weaponize empathy to manufacture urgency. Used cleanly, MI improves both the seller’s and the buyer’s outcomes; used cynically, it crosses into manipulation.</w:t>
      </w:r>
    </w:p>
    <w:p w14:paraId="70EFE87C" w14:textId="77777777" w:rsidR="00924B97" w:rsidRDefault="00000000">
      <w:pPr>
        <w:pStyle w:val="Heading1"/>
        <w:pBdr>
          <w:bottom w:val="single" w:sz="14" w:space="6" w:color="F07840"/>
        </w:pBdr>
      </w:pPr>
      <w:bookmarkStart w:id="5" w:name="__RefHeading___Toc337_2922346544"/>
      <w:bookmarkEnd w:id="5"/>
      <w:proofErr w:type="gramStart"/>
      <w:r>
        <w:rPr>
          <w:color w:val="F07840"/>
        </w:rPr>
        <w:t xml:space="preserve">06  </w:t>
      </w:r>
      <w:r>
        <w:t>Use</w:t>
      </w:r>
      <w:proofErr w:type="gramEnd"/>
      <w:r>
        <w:t xml:space="preserve"> Case Two: Medication Adherence</w:t>
      </w:r>
    </w:p>
    <w:p w14:paraId="3EB6C679" w14:textId="77777777" w:rsidR="00924B97" w:rsidRDefault="00000000">
      <w:pPr>
        <w:spacing w:after="160" w:line="276" w:lineRule="exact"/>
      </w:pPr>
      <w:r>
        <w:t>Roughly half of patients with chronic conditions do not take their medications as prescribed. The World Health Organization has called nonadherence a problem of “striking magnitude,” and U.S. costs alone exceed one hundred billion dollars per year in avoidable hospitalizations and disease progression. Reminder apps and refill nudges help at the margin but do not address the central problem: most nonadherence is not forgetting. It is ambivalence — about side effects, about identity (“I don’t want to be the kind of person who takes pills”), about cost, about whether the medication is doing anything at all.</w:t>
      </w:r>
    </w:p>
    <w:p w14:paraId="04E8D951" w14:textId="77777777" w:rsidR="00924B97" w:rsidRDefault="00000000">
      <w:pPr>
        <w:spacing w:after="160" w:line="276" w:lineRule="exact"/>
      </w:pPr>
      <w:r>
        <w:t>A 2023 synthesis of MI for medication adherence concluded that MI-based interventions produce small-to-moderate but consistent improvements in adherence across cardiovascular, HIV, mental health, and diabetes populations, with the largest effects where ambivalence is highest. The mechanism is the same one that works elsewhere: eliciting and reinforcing the patient’s own reasons for taking the medication.</w:t>
      </w:r>
    </w:p>
    <w:p w14:paraId="73E5A53B" w14:textId="77777777" w:rsidR="00924B97" w:rsidRDefault="00000000">
      <w:pPr>
        <w:spacing w:after="160" w:line="276" w:lineRule="exact"/>
      </w:pPr>
      <w:r>
        <w:t>An MI-styled adherence bot opens with permission (“Mind if I check in?”) rather than reminders, reflects rather than rebuts when patients voice doubt, uses scaling questions to elicit change talk (“On a scale of 0 to 10, how important is it to you right now to take this medication? What makes it a 4 and not a 1?”), affirms specifically rather than generically, and hands off to humans on red flags. The bot is a layer, not a replacement.</w:t>
      </w:r>
    </w:p>
    <w:p w14:paraId="4C00BA19" w14:textId="77777777" w:rsidR="00924B97" w:rsidRDefault="00000000">
      <w:pPr>
        <w:spacing w:before="60" w:after="80"/>
      </w:pPr>
      <w:r>
        <w:rPr>
          <w:b/>
          <w:bCs/>
          <w:color w:val="F07840"/>
          <w:spacing w:val="30"/>
          <w:sz w:val="16"/>
          <w:szCs w:val="16"/>
        </w:rPr>
        <w:t>ILLUSTRATIVE DIALOGUE · HYPERTENSION FOLLOW-UP</w:t>
      </w:r>
    </w:p>
    <w:tbl>
      <w:tblPr>
        <w:tblW w:w="9360" w:type="dxa"/>
        <w:tblLayout w:type="fixed"/>
        <w:tblCellMar>
          <w:top w:w="140" w:type="dxa"/>
          <w:left w:w="220" w:type="dxa"/>
          <w:bottom w:w="140" w:type="dxa"/>
          <w:right w:w="200" w:type="dxa"/>
        </w:tblCellMar>
        <w:tblLook w:val="04A0" w:firstRow="1" w:lastRow="0" w:firstColumn="1" w:lastColumn="0" w:noHBand="0" w:noVBand="1"/>
      </w:tblPr>
      <w:tblGrid>
        <w:gridCol w:w="9360"/>
      </w:tblGrid>
      <w:tr w:rsidR="00924B97" w14:paraId="38598B6D" w14:textId="77777777">
        <w:tc>
          <w:tcPr>
            <w:tcW w:w="9360" w:type="dxa"/>
            <w:tcBorders>
              <w:top w:val="single" w:sz="2" w:space="0" w:color="F4F2EF"/>
              <w:left w:val="single" w:sz="28" w:space="0" w:color="F07840"/>
              <w:bottom w:val="single" w:sz="2" w:space="0" w:color="F4F2EF"/>
              <w:right w:val="single" w:sz="2" w:space="0" w:color="F4F2EF"/>
            </w:tcBorders>
            <w:shd w:val="clear" w:color="auto" w:fill="F4F2EF"/>
          </w:tcPr>
          <w:p w14:paraId="52F0400D" w14:textId="77777777" w:rsidR="00924B97" w:rsidRDefault="00000000">
            <w:pPr>
              <w:spacing w:after="100" w:line="264" w:lineRule="exact"/>
            </w:pPr>
            <w:r>
              <w:rPr>
                <w:b/>
                <w:bCs/>
                <w:color w:val="283038"/>
                <w:sz w:val="20"/>
                <w:szCs w:val="20"/>
              </w:rPr>
              <w:t xml:space="preserve">Bot: </w:t>
            </w:r>
            <w:r>
              <w:rPr>
                <w:sz w:val="20"/>
                <w:szCs w:val="20"/>
              </w:rPr>
              <w:t>Hi Maria — mind if I check in for a minute about your blood pressure medication?</w:t>
            </w:r>
          </w:p>
          <w:p w14:paraId="65D60CEF" w14:textId="77777777" w:rsidR="00924B97" w:rsidRDefault="00000000">
            <w:pPr>
              <w:spacing w:after="100" w:line="264" w:lineRule="exact"/>
            </w:pPr>
            <w:r>
              <w:rPr>
                <w:b/>
                <w:bCs/>
                <w:color w:val="283038"/>
                <w:sz w:val="20"/>
                <w:szCs w:val="20"/>
              </w:rPr>
              <w:t xml:space="preserve">Patient: </w:t>
            </w:r>
            <w:r>
              <w:rPr>
                <w:sz w:val="20"/>
                <w:szCs w:val="20"/>
              </w:rPr>
              <w:t>Honestly, I stopped taking it last week. It made me dizzy.</w:t>
            </w:r>
          </w:p>
          <w:p w14:paraId="5FBB2156" w14:textId="77777777" w:rsidR="00924B97" w:rsidRDefault="00000000">
            <w:pPr>
              <w:spacing w:after="100" w:line="264" w:lineRule="exact"/>
            </w:pPr>
            <w:r>
              <w:rPr>
                <w:b/>
                <w:bCs/>
                <w:color w:val="6A7178"/>
                <w:sz w:val="20"/>
                <w:szCs w:val="20"/>
              </w:rPr>
              <w:t xml:space="preserve">Bot (conventional): </w:t>
            </w:r>
            <w:r>
              <w:rPr>
                <w:sz w:val="20"/>
                <w:szCs w:val="20"/>
              </w:rPr>
              <w:t>Stopping suddenly can be dangerous. Please restart the medication and call your doctor.</w:t>
            </w:r>
          </w:p>
          <w:p w14:paraId="28FACB64" w14:textId="77777777" w:rsidR="00924B97" w:rsidRDefault="00000000">
            <w:r>
              <w:rPr>
                <w:b/>
                <w:bCs/>
                <w:color w:val="F07840"/>
                <w:sz w:val="20"/>
                <w:szCs w:val="20"/>
              </w:rPr>
              <w:t xml:space="preserve">Bot (MI-aligned): </w:t>
            </w:r>
            <w:r>
              <w:rPr>
                <w:sz w:val="20"/>
                <w:szCs w:val="20"/>
              </w:rPr>
              <w:t>That makes sense — dizziness is hard to live with, and stopping was a way to get relief. It sounds like you want to manage your blood pressure, but not at that cost. Would it be useful if we talked through a few options for managing the dizziness, including discussing a different dose with your doctor?</w:t>
            </w:r>
          </w:p>
        </w:tc>
      </w:tr>
    </w:tbl>
    <w:p w14:paraId="5E46B51B" w14:textId="77777777" w:rsidR="00924B97" w:rsidRDefault="00924B97">
      <w:pPr>
        <w:spacing w:after="120"/>
      </w:pPr>
    </w:p>
    <w:p w14:paraId="599EA4D9" w14:textId="77777777" w:rsidR="00924B97" w:rsidRDefault="00000000">
      <w:pPr>
        <w:spacing w:after="160" w:line="276" w:lineRule="exact"/>
      </w:pPr>
      <w:r>
        <w:t>The MI-aligned response neither lectures nor pretends that the side effect is trivial. It reflects ambivalence (wanting to manage the condition, but not wanting the dizziness), affirms the patient’s judgment, and asks permission before suggesting next steps. The bot’s job here is to keep the patient in conversation with the care system, not to win the argument in the current turn.</w:t>
      </w:r>
    </w:p>
    <w:p w14:paraId="36270315" w14:textId="77777777" w:rsidR="00924B97" w:rsidRDefault="00000000">
      <w:pPr>
        <w:spacing w:after="160" w:line="276" w:lineRule="exact"/>
      </w:pPr>
      <w:r>
        <w:t>Programs that have layered MI-style conversational agents onto standard adherence reminders have reported improvements in the proportion of days covered (PDC), persistence at 6 and 12 months, and self-reported confidence in managing the condition. The relevant business metrics for payers and pharmacy benefit managers — medical loss ratio, hospital readmissions, and Star Ratings on adherence — move in the same direction, which is why this is one of the use cases where the financial case for MI is straightforward.</w:t>
      </w:r>
    </w:p>
    <w:p w14:paraId="11AE05D6" w14:textId="77777777" w:rsidR="00924B97" w:rsidRDefault="00000000">
      <w:pPr>
        <w:pStyle w:val="Heading1"/>
        <w:pBdr>
          <w:bottom w:val="single" w:sz="14" w:space="6" w:color="F07840"/>
        </w:pBdr>
      </w:pPr>
      <w:bookmarkStart w:id="6" w:name="__RefHeading___Toc339_2922346544"/>
      <w:bookmarkEnd w:id="6"/>
      <w:proofErr w:type="gramStart"/>
      <w:r>
        <w:rPr>
          <w:color w:val="F07840"/>
        </w:rPr>
        <w:t xml:space="preserve">07  </w:t>
      </w:r>
      <w:r>
        <w:t>Use</w:t>
      </w:r>
      <w:proofErr w:type="gramEnd"/>
      <w:r>
        <w:t xml:space="preserve"> Case Three: Mental Health</w:t>
      </w:r>
    </w:p>
    <w:p w14:paraId="5C22A7F9" w14:textId="77777777" w:rsidR="00924B97" w:rsidRDefault="00000000">
      <w:pPr>
        <w:spacing w:after="160" w:line="276" w:lineRule="exact"/>
      </w:pPr>
      <w:r>
        <w:t>MI was born in the addiction field, where ambivalence is the central clinical phenomenon. The same dynamic recurs across mental health: the person with depression unsure whether therapy will help, the person with social anxiety who has rehearsed a hundred reasons not to schedule the first session, the adolescent referred for substance use who insists nothing is wrong. The most common reason people do not get better is not unavailable treatment — it is that they never fully engage with it. Treatment dropout in outpatient mental health care runs thirty to sixty percent, depending on the population.</w:t>
      </w:r>
    </w:p>
    <w:p w14:paraId="3892F55E" w14:textId="77777777" w:rsidR="00924B97" w:rsidRDefault="00000000">
      <w:pPr>
        <w:spacing w:after="160" w:line="276" w:lineRule="exact"/>
      </w:pPr>
      <w:r>
        <w:t>A 2010 meta-analysis by Lundahl and colleagues found MI produced significant improvements not only in substance-use outcomes but in treatment engagement and retention across mental health populations. Subsequent work has shown MI to be effective as a brief stand-alone intervention for depression and anxiety symptoms and, more often, as a “front door” that gets ambivalent patients into and through evidence-based treatments such as CBT.</w:t>
      </w:r>
    </w:p>
    <w:p w14:paraId="78DBDEED" w14:textId="77777777" w:rsidR="00924B97" w:rsidRDefault="00000000">
      <w:pPr>
        <w:spacing w:after="160" w:line="276" w:lineRule="exact"/>
      </w:pPr>
      <w:r>
        <w:t>MI-based mental health bots reduce dropout from digital therapy programs by eliciting users’ reasons for engaging and surfacing ambivalence that would otherwise show up as silent abandonment. They address self-stigma without arguing with it (a person who says “people like me don’t do therapy” cannot be argued out of that frame, only reflected and asked what would have to be true for it to feel different). They bridge the gap between crisis lines and routine care — with robust crisis-detection routing as a non-negotiable. And they support medication decisions in psychiatry, where identity (“I don’t want to be on something”) and side-effect ambivalence loom especially large.</w:t>
      </w:r>
    </w:p>
    <w:p w14:paraId="26042AC0" w14:textId="77777777" w:rsidR="00924B97" w:rsidRDefault="00000000">
      <w:pPr>
        <w:spacing w:before="60" w:after="80"/>
      </w:pPr>
      <w:r>
        <w:rPr>
          <w:b/>
          <w:bCs/>
          <w:color w:val="F07840"/>
          <w:spacing w:val="30"/>
          <w:sz w:val="16"/>
          <w:szCs w:val="16"/>
        </w:rPr>
        <w:t>ILLUSTRATIVE DIALOGUE · AMBIVALENCE ABOUT STARTING THERAPY</w:t>
      </w:r>
    </w:p>
    <w:tbl>
      <w:tblPr>
        <w:tblW w:w="9360" w:type="dxa"/>
        <w:tblLayout w:type="fixed"/>
        <w:tblCellMar>
          <w:top w:w="140" w:type="dxa"/>
          <w:left w:w="220" w:type="dxa"/>
          <w:bottom w:w="140" w:type="dxa"/>
          <w:right w:w="200" w:type="dxa"/>
        </w:tblCellMar>
        <w:tblLook w:val="04A0" w:firstRow="1" w:lastRow="0" w:firstColumn="1" w:lastColumn="0" w:noHBand="0" w:noVBand="1"/>
      </w:tblPr>
      <w:tblGrid>
        <w:gridCol w:w="9360"/>
      </w:tblGrid>
      <w:tr w:rsidR="00924B97" w14:paraId="29F12EFB" w14:textId="77777777">
        <w:tc>
          <w:tcPr>
            <w:tcW w:w="9360" w:type="dxa"/>
            <w:tcBorders>
              <w:top w:val="single" w:sz="2" w:space="0" w:color="F4F2EF"/>
              <w:left w:val="single" w:sz="28" w:space="0" w:color="F07840"/>
              <w:bottom w:val="single" w:sz="2" w:space="0" w:color="F4F2EF"/>
              <w:right w:val="single" w:sz="2" w:space="0" w:color="F4F2EF"/>
            </w:tcBorders>
            <w:shd w:val="clear" w:color="auto" w:fill="F4F2EF"/>
          </w:tcPr>
          <w:p w14:paraId="08E8DCF2" w14:textId="77777777" w:rsidR="00924B97" w:rsidRDefault="00000000">
            <w:pPr>
              <w:spacing w:after="100" w:line="264" w:lineRule="exact"/>
            </w:pPr>
            <w:r>
              <w:rPr>
                <w:b/>
                <w:bCs/>
                <w:color w:val="283038"/>
                <w:sz w:val="20"/>
                <w:szCs w:val="20"/>
              </w:rPr>
              <w:t xml:space="preserve">User: </w:t>
            </w:r>
            <w:r>
              <w:rPr>
                <w:sz w:val="20"/>
                <w:szCs w:val="20"/>
              </w:rPr>
              <w:t xml:space="preserve">My doctor wants me to try therapy but </w:t>
            </w:r>
            <w:proofErr w:type="gramStart"/>
            <w:r>
              <w:rPr>
                <w:sz w:val="20"/>
                <w:szCs w:val="20"/>
              </w:rPr>
              <w:t>honestly</w:t>
            </w:r>
            <w:proofErr w:type="gramEnd"/>
            <w:r>
              <w:rPr>
                <w:sz w:val="20"/>
                <w:szCs w:val="20"/>
              </w:rPr>
              <w:t xml:space="preserve"> I think it’s a waste of time. I just need to push through.</w:t>
            </w:r>
          </w:p>
          <w:p w14:paraId="6870F78B" w14:textId="77777777" w:rsidR="00924B97" w:rsidRDefault="00000000">
            <w:pPr>
              <w:spacing w:after="100" w:line="264" w:lineRule="exact"/>
            </w:pPr>
            <w:r>
              <w:rPr>
                <w:b/>
                <w:bCs/>
                <w:color w:val="6A7178"/>
                <w:sz w:val="20"/>
                <w:szCs w:val="20"/>
              </w:rPr>
              <w:t xml:space="preserve">Bot (conventional): </w:t>
            </w:r>
            <w:r>
              <w:rPr>
                <w:sz w:val="20"/>
                <w:szCs w:val="20"/>
              </w:rPr>
              <w:t>Therapy has been shown to be highly effective for depression. Would you like help finding a provider?</w:t>
            </w:r>
          </w:p>
          <w:p w14:paraId="50D58236" w14:textId="77777777" w:rsidR="00924B97" w:rsidRDefault="00000000">
            <w:r>
              <w:rPr>
                <w:b/>
                <w:bCs/>
                <w:color w:val="F07840"/>
                <w:sz w:val="20"/>
                <w:szCs w:val="20"/>
              </w:rPr>
              <w:t xml:space="preserve">Bot (MI-aligned): </w:t>
            </w:r>
            <w:r>
              <w:rPr>
                <w:sz w:val="20"/>
                <w:szCs w:val="20"/>
              </w:rPr>
              <w:t>It sounds like you’ve gotten through hard things before by pushing through, and part of you wonders whether therapy would just slow that down. At the same time, your doctor brought it up, which suggests you may be considering it. What is it about pushing through that’s worked, and where, if anywhere, has it left you stuck?</w:t>
            </w:r>
          </w:p>
        </w:tc>
      </w:tr>
    </w:tbl>
    <w:p w14:paraId="24A41319" w14:textId="77777777" w:rsidR="00924B97" w:rsidRDefault="00924B97">
      <w:pPr>
        <w:spacing w:after="120"/>
      </w:pPr>
    </w:p>
    <w:p w14:paraId="457D7D99" w14:textId="77777777" w:rsidR="00924B97" w:rsidRDefault="00000000">
      <w:pPr>
        <w:spacing w:after="160" w:line="276" w:lineRule="exact"/>
      </w:pPr>
      <w:r>
        <w:t>The MI-aligned response honors the user’s self-reliance (an identity many depressed and anxious patients defend strongly), surfaces the genuine ambivalence (“part of you wonders”), and asks an evocative question that invites the user — not the bot — to articulate where the current strategy has limits. Repeated across many turns, this is the move that predicts the user staying in the conversation long enough for treatment to start.</w:t>
      </w:r>
    </w:p>
    <w:p w14:paraId="7A483669" w14:textId="77777777" w:rsidR="00924B97" w:rsidRDefault="00000000">
      <w:pPr>
        <w:spacing w:after="160" w:line="276" w:lineRule="exact"/>
      </w:pPr>
      <w:r>
        <w:t>Mental health is the use case where governance matters most. Crisis-detection routing, escalation paths to human clinicians, and clear scope-of-practice boundaries are not optional. MI bots in mental health should be deployed in partnership with clinical teams, not as replacements, and should be evaluated against patient-reported outcome measures (PHQ-9, GAD-7, working alliance) in addition to engagement metrics.</w:t>
      </w:r>
    </w:p>
    <w:p w14:paraId="3F5C668F" w14:textId="77777777" w:rsidR="00924B97" w:rsidRDefault="00000000">
      <w:pPr>
        <w:pStyle w:val="Heading1"/>
        <w:pBdr>
          <w:bottom w:val="single" w:sz="14" w:space="6" w:color="F07840"/>
        </w:pBdr>
      </w:pPr>
      <w:bookmarkStart w:id="7" w:name="__RefHeading___Toc341_2922346544"/>
      <w:bookmarkEnd w:id="7"/>
      <w:proofErr w:type="gramStart"/>
      <w:r>
        <w:rPr>
          <w:color w:val="F07840"/>
        </w:rPr>
        <w:t xml:space="preserve">08  </w:t>
      </w:r>
      <w:r>
        <w:t>Use</w:t>
      </w:r>
      <w:proofErr w:type="gramEnd"/>
      <w:r>
        <w:t xml:space="preserve"> Case Four: Chronic Disease</w:t>
      </w:r>
    </w:p>
    <w:p w14:paraId="56D764EC" w14:textId="77777777" w:rsidR="00924B97" w:rsidRDefault="00000000">
      <w:pPr>
        <w:spacing w:after="160" w:line="276" w:lineRule="exact"/>
      </w:pPr>
      <w:r>
        <w:t>Six in ten American adults live with at least one chronic disease; four in ten live with two or more. Chronic disease care is, by definition, behavior-dependent: medication-taking, dietary change, physical activity, weight management, glucose monitoring, smoking cessation. The clinical encounter that produces the prescription is the easy part; the eleven months a year the patient spends managing the condition outside that encounter is where outcomes are won or lost.</w:t>
      </w:r>
    </w:p>
    <w:p w14:paraId="20479DEF" w14:textId="77777777" w:rsidR="00924B97" w:rsidRDefault="00000000">
      <w:pPr>
        <w:pStyle w:val="Heading2"/>
      </w:pPr>
      <w:r>
        <w:t>Type 2 Diabetes</w:t>
      </w:r>
    </w:p>
    <w:p w14:paraId="76829863" w14:textId="77777777" w:rsidR="00924B97" w:rsidRDefault="00000000">
      <w:pPr>
        <w:spacing w:after="160" w:line="276" w:lineRule="exact"/>
      </w:pPr>
      <w:r>
        <w:t>Multiple randomized trials and meta-analyses have shown MI-based counseling improves dietary adherence, physical activity, self-monitoring of blood glucose, and — in several studies — HbA1c. Diabetes asks people to make dozens of small decisions a day under conditions of low immediate feedback; external motivators (the threat of complications years away) are weak compared to the daily friction of self-management. MI builds the internal motivation that bridges that gap.</w:t>
      </w:r>
    </w:p>
    <w:p w14:paraId="0B1D0182" w14:textId="77777777" w:rsidR="00924B97" w:rsidRDefault="00000000">
      <w:pPr>
        <w:pStyle w:val="Heading2"/>
      </w:pPr>
      <w:r>
        <w:t>Weight Management and Obesity</w:t>
      </w:r>
    </w:p>
    <w:p w14:paraId="72CF8F25" w14:textId="77777777" w:rsidR="00924B97" w:rsidRDefault="00000000">
      <w:pPr>
        <w:spacing w:after="160" w:line="276" w:lineRule="exact"/>
      </w:pPr>
      <w:r>
        <w:t xml:space="preserve">This is where </w:t>
      </w:r>
      <w:proofErr w:type="spellStart"/>
      <w:r>
        <w:t>Chronilogix’s</w:t>
      </w:r>
      <w:proofErr w:type="spellEnd"/>
      <w:r>
        <w:t xml:space="preserve"> scientific lineage runs deepest. Ken </w:t>
      </w:r>
      <w:proofErr w:type="spellStart"/>
      <w:r>
        <w:t>Resnicow</w:t>
      </w:r>
      <w:proofErr w:type="spellEnd"/>
      <w:r>
        <w:t xml:space="preserve"> and colleagues conducted foundational randomized trials of MI for nutrition and weight change in adult and pediatric populations, including the “Healthy Body Healthy Spirit” and “Go Girls!” studies, which established that MI-based interventions outperformed didactic nutrition education for fruit and vegetable intake, physical activity, and — in pediatric obesity work — body mass index trajectory. </w:t>
      </w:r>
      <w:proofErr w:type="spellStart"/>
      <w:r>
        <w:t>Resnicow’s</w:t>
      </w:r>
      <w:proofErr w:type="spellEnd"/>
      <w:r>
        <w:t xml:space="preserve"> 2012 paper with McMaster, “Motivational Interviewing: Moving from Why to How with Autonomy Support,” articulated the mechanism: MI works in part because it is one of the few counseling styles that systematically supports the patient’s sense of autonomy, and autonomy support is, per self-determination theory, the strongest predictor of sustained behavior change.</w:t>
      </w:r>
    </w:p>
    <w:p w14:paraId="1FB3841E" w14:textId="77777777" w:rsidR="00924B97" w:rsidRDefault="00000000">
      <w:pPr>
        <w:spacing w:after="160" w:line="276" w:lineRule="exact"/>
      </w:pPr>
      <w:r>
        <w:t xml:space="preserve">For a chatbot in this space, the implications are concrete. Weight management conversations must avoid the two failure modes that dominate the category: the cheerleading bot (“You’ve got this!”) and the surveillance bot (calorie-counter as nag). MI replaces both with a third pattern: a conversation that takes the user’s ambivalence seriously, reflects it without judgment, anchors </w:t>
      </w:r>
      <w:proofErr w:type="gramStart"/>
      <w:r>
        <w:t>plans</w:t>
      </w:r>
      <w:proofErr w:type="gramEnd"/>
      <w:r>
        <w:t xml:space="preserve"> in the user’s own stated values, and treats lapses as data rather than as moral failures.</w:t>
      </w:r>
    </w:p>
    <w:p w14:paraId="44E0282C" w14:textId="77777777" w:rsidR="00924B97" w:rsidRDefault="00000000">
      <w:pPr>
        <w:pStyle w:val="Heading2"/>
      </w:pPr>
      <w:r>
        <w:t>Other Chronic Conditions</w:t>
      </w:r>
    </w:p>
    <w:p w14:paraId="6671FF71" w14:textId="77777777" w:rsidR="00924B97" w:rsidRDefault="00000000">
      <w:pPr>
        <w:spacing w:after="160" w:line="276" w:lineRule="exact"/>
      </w:pPr>
      <w:r>
        <w:t>The same architecture extends across hypertension and chronic kidney disease (medication adherence and dietary change), and asthma and COPD (inhaler technique and adherence). The conversational pattern is the same; what changes is the content the bot must be fluent in and the clinical guardrails around it.</w:t>
      </w:r>
    </w:p>
    <w:p w14:paraId="3E617BA0" w14:textId="77777777" w:rsidR="00924B97" w:rsidRDefault="00000000">
      <w:pPr>
        <w:pStyle w:val="Heading2"/>
      </w:pPr>
      <w:r>
        <w:t>The Half-Life Problem</w:t>
      </w:r>
    </w:p>
    <w:p w14:paraId="3CD08058" w14:textId="77777777" w:rsidR="00924B97" w:rsidRDefault="00000000">
      <w:pPr>
        <w:spacing w:after="160" w:line="276" w:lineRule="exact"/>
      </w:pPr>
      <w:r>
        <w:t xml:space="preserve">Most users abandon a wellness or chronic-care app within thirty days of install. Engagement curves for behavior-change products tend to follow exponential decay. The first month is dominated by novelty; sustained behavior change requires a different kind of motivation, harder to generate with streaks, badges, and push notifications. </w:t>
      </w:r>
      <w:r>
        <w:rPr>
          <w:b/>
          <w:bCs/>
          <w:color w:val="283038"/>
        </w:rPr>
        <w:t>An MI bot gets better with the user over time</w:t>
      </w:r>
      <w:r>
        <w:t xml:space="preserve"> — it accumulates a working memory of what the user has said matters to them, what has worked, what has not, and what they have identified as the next step. Generic engagement gimmicks decay; MI-driven personalization compounds. The compounding curve is the business case.</w:t>
      </w:r>
    </w:p>
    <w:p w14:paraId="25D873EE" w14:textId="77777777" w:rsidR="00924B97" w:rsidRDefault="00000000">
      <w:pPr>
        <w:spacing w:after="160" w:line="276" w:lineRule="exact"/>
      </w:pPr>
      <w:r>
        <w:t>Designing for the long arc means varying the conversation across engaging, evoking, and planning modes; tracking values, not just behaviors (surfacing the user’s stated reasons — “being there for my kids,” “getting my A1c under 7” — and referring back to them by name in later sessions); planning for relapse without dramatizing it (greeting a missed week with curiosity and compassion, not with a guilt-trip notification); and pairing with human touch points at the right moments.</w:t>
      </w:r>
    </w:p>
    <w:p w14:paraId="7BE441A2" w14:textId="77777777" w:rsidR="00924B97" w:rsidRDefault="00000000">
      <w:pPr>
        <w:spacing w:before="60" w:after="80"/>
      </w:pPr>
      <w:r>
        <w:rPr>
          <w:b/>
          <w:bCs/>
          <w:color w:val="F07840"/>
          <w:spacing w:val="30"/>
          <w:sz w:val="16"/>
          <w:szCs w:val="16"/>
        </w:rPr>
        <w:t>ILLUSTRATIVE DIALOGUE · A LAPSE IN A WEIGHT MANAGEMENT PROGRAM</w:t>
      </w:r>
    </w:p>
    <w:tbl>
      <w:tblPr>
        <w:tblW w:w="9360" w:type="dxa"/>
        <w:tblLayout w:type="fixed"/>
        <w:tblCellMar>
          <w:top w:w="140" w:type="dxa"/>
          <w:left w:w="220" w:type="dxa"/>
          <w:bottom w:w="140" w:type="dxa"/>
          <w:right w:w="200" w:type="dxa"/>
        </w:tblCellMar>
        <w:tblLook w:val="04A0" w:firstRow="1" w:lastRow="0" w:firstColumn="1" w:lastColumn="0" w:noHBand="0" w:noVBand="1"/>
      </w:tblPr>
      <w:tblGrid>
        <w:gridCol w:w="9360"/>
      </w:tblGrid>
      <w:tr w:rsidR="00924B97" w14:paraId="68633A73" w14:textId="77777777">
        <w:tc>
          <w:tcPr>
            <w:tcW w:w="9360" w:type="dxa"/>
            <w:tcBorders>
              <w:top w:val="single" w:sz="2" w:space="0" w:color="F4F2EF"/>
              <w:left w:val="single" w:sz="28" w:space="0" w:color="F07840"/>
              <w:bottom w:val="single" w:sz="2" w:space="0" w:color="F4F2EF"/>
              <w:right w:val="single" w:sz="2" w:space="0" w:color="F4F2EF"/>
            </w:tcBorders>
            <w:shd w:val="clear" w:color="auto" w:fill="F4F2EF"/>
          </w:tcPr>
          <w:p w14:paraId="7EB6CB53" w14:textId="77777777" w:rsidR="00924B97" w:rsidRDefault="00000000">
            <w:pPr>
              <w:spacing w:after="100" w:line="264" w:lineRule="exact"/>
            </w:pPr>
            <w:r>
              <w:rPr>
                <w:b/>
                <w:bCs/>
                <w:color w:val="283038"/>
                <w:sz w:val="20"/>
                <w:szCs w:val="20"/>
              </w:rPr>
              <w:t xml:space="preserve">Bot: </w:t>
            </w:r>
            <w:r>
              <w:rPr>
                <w:sz w:val="20"/>
                <w:szCs w:val="20"/>
              </w:rPr>
              <w:t>Hi James — it’s been about ten days since we last talked. Welcome back. What’s been on your mind about the eating plan?</w:t>
            </w:r>
          </w:p>
          <w:p w14:paraId="45A32983" w14:textId="77777777" w:rsidR="00924B97" w:rsidRDefault="00000000">
            <w:pPr>
              <w:spacing w:after="100" w:line="264" w:lineRule="exact"/>
            </w:pPr>
            <w:r>
              <w:rPr>
                <w:b/>
                <w:bCs/>
                <w:color w:val="283038"/>
                <w:sz w:val="20"/>
                <w:szCs w:val="20"/>
              </w:rPr>
              <w:t xml:space="preserve">User: </w:t>
            </w:r>
            <w:r>
              <w:rPr>
                <w:sz w:val="20"/>
                <w:szCs w:val="20"/>
              </w:rPr>
              <w:t>I fell off it for two weeks. Work blew up, and I just gave up.</w:t>
            </w:r>
          </w:p>
          <w:p w14:paraId="1F7C51E5" w14:textId="77777777" w:rsidR="00924B97" w:rsidRDefault="00000000">
            <w:pPr>
              <w:spacing w:after="100" w:line="264" w:lineRule="exact"/>
            </w:pPr>
            <w:r>
              <w:rPr>
                <w:b/>
                <w:bCs/>
                <w:color w:val="6A7178"/>
                <w:sz w:val="20"/>
                <w:szCs w:val="20"/>
              </w:rPr>
              <w:t xml:space="preserve">Bot (conventional): </w:t>
            </w:r>
            <w:r>
              <w:rPr>
                <w:sz w:val="20"/>
                <w:szCs w:val="20"/>
              </w:rPr>
              <w:t>No worries! Let’s get you back on track. Try logging three meals today.</w:t>
            </w:r>
          </w:p>
          <w:p w14:paraId="7F5E86B8" w14:textId="77777777" w:rsidR="00924B97" w:rsidRDefault="00000000">
            <w:r>
              <w:rPr>
                <w:b/>
                <w:bCs/>
                <w:color w:val="F07840"/>
                <w:sz w:val="20"/>
                <w:szCs w:val="20"/>
              </w:rPr>
              <w:t xml:space="preserve">Bot (MI-aligned): </w:t>
            </w:r>
            <w:r>
              <w:rPr>
                <w:sz w:val="20"/>
                <w:szCs w:val="20"/>
              </w:rPr>
              <w:t xml:space="preserve">Two stressful weeks where the plan got pushed aside — that’s </w:t>
            </w:r>
            <w:proofErr w:type="gramStart"/>
            <w:r>
              <w:rPr>
                <w:sz w:val="20"/>
                <w:szCs w:val="20"/>
              </w:rPr>
              <w:t>pretty common</w:t>
            </w:r>
            <w:proofErr w:type="gramEnd"/>
            <w:r>
              <w:rPr>
                <w:sz w:val="20"/>
                <w:szCs w:val="20"/>
              </w:rPr>
              <w:t xml:space="preserve"> when work goes sideways. You came back to this conversation, which suggests it still matters to you. When you think about why you started this back in February, what comes up?</w:t>
            </w:r>
          </w:p>
        </w:tc>
      </w:tr>
    </w:tbl>
    <w:p w14:paraId="41C6467D" w14:textId="77777777" w:rsidR="00924B97" w:rsidRDefault="00924B97">
      <w:pPr>
        <w:spacing w:after="120"/>
      </w:pPr>
    </w:p>
    <w:p w14:paraId="6E8AF4C9" w14:textId="77777777" w:rsidR="00924B97" w:rsidRDefault="00000000">
      <w:pPr>
        <w:spacing w:after="160" w:line="276" w:lineRule="exact"/>
      </w:pPr>
      <w:r>
        <w:t>The MI-aligned response does not minimize the lapse, pile on, or jump to scheduling. It reflects and affirms the act of returning to the conversation (a small but real piece of change talk</w:t>
      </w:r>
      <w:proofErr w:type="gramStart"/>
      <w:r>
        <w:t>), and</w:t>
      </w:r>
      <w:proofErr w:type="gramEnd"/>
      <w:r>
        <w:t xml:space="preserve"> evokes the original motivation. The next turn — planning — is earned, not forced.</w:t>
      </w:r>
    </w:p>
    <w:p w14:paraId="63DDB8E1" w14:textId="77777777" w:rsidR="00924B97" w:rsidRDefault="00000000">
      <w:pPr>
        <w:pStyle w:val="Heading1"/>
        <w:pBdr>
          <w:bottom w:val="single" w:sz="14" w:space="6" w:color="F07840"/>
        </w:pBdr>
      </w:pPr>
      <w:bookmarkStart w:id="8" w:name="__RefHeading___Toc343_2922346544"/>
      <w:bookmarkEnd w:id="8"/>
      <w:proofErr w:type="gramStart"/>
      <w:r>
        <w:rPr>
          <w:color w:val="F07840"/>
        </w:rPr>
        <w:t xml:space="preserve">09  </w:t>
      </w:r>
      <w:r>
        <w:t>Cultural</w:t>
      </w:r>
      <w:proofErr w:type="gramEnd"/>
      <w:r>
        <w:t xml:space="preserve"> Tailoring: Beyond Translation</w:t>
      </w:r>
    </w:p>
    <w:p w14:paraId="4C0A854D" w14:textId="77777777" w:rsidR="00924B97" w:rsidRDefault="00000000">
      <w:pPr>
        <w:spacing w:after="160" w:line="276" w:lineRule="exact"/>
      </w:pPr>
      <w:r>
        <w:t xml:space="preserve">In a foundational 2000 paper, Ken </w:t>
      </w:r>
      <w:proofErr w:type="spellStart"/>
      <w:r>
        <w:t>Resnicow</w:t>
      </w:r>
      <w:proofErr w:type="spellEnd"/>
      <w:r>
        <w:t xml:space="preserve"> and colleagues introduced a distinction that has organized the field of culturally tailored health communication ever since: the distinction between </w:t>
      </w:r>
      <w:r>
        <w:rPr>
          <w:b/>
          <w:bCs/>
          <w:color w:val="283038"/>
        </w:rPr>
        <w:t>surface-structure</w:t>
      </w:r>
      <w:r>
        <w:t xml:space="preserve"> and </w:t>
      </w:r>
      <w:r>
        <w:rPr>
          <w:b/>
          <w:bCs/>
          <w:color w:val="283038"/>
        </w:rPr>
        <w:t>deep-structure</w:t>
      </w:r>
      <w:r>
        <w:t xml:space="preserve"> cultural sensitivity.</w:t>
      </w:r>
    </w:p>
    <w:p w14:paraId="4AA8B496" w14:textId="77777777" w:rsidR="00924B97" w:rsidRDefault="00000000">
      <w:pPr>
        <w:spacing w:after="160" w:line="276" w:lineRule="exact"/>
      </w:pPr>
      <w:r>
        <w:t>Surface structure refers to matching the observable characteristics of a target population — language, imagery, music, names, food references, the visual identity of materials. Deep structure refers to capturing the cultural, social, historical, environmental, and psychological forces that influence the target behavior in a particular community: how illness is understood, who in the family makes decisions, what role faith and spirituality play, how trust in the medical system has been earned or eroded, and what the cost of changing behavior actually is in the user’s social world.</w:t>
      </w:r>
    </w:p>
    <w:p w14:paraId="4524C19F" w14:textId="77777777" w:rsidR="00924B97" w:rsidRDefault="00000000">
      <w:pPr>
        <w:spacing w:after="160" w:line="276" w:lineRule="exact"/>
      </w:pPr>
      <w:r>
        <w:t>Surface tailoring without deep tailoring is the most common failure mode in culturally targeted health interventions. A Spanish-language version of a generic adherence chatbot is not an adherence chatbot for Hispanic-identified individuals. A Black-led wellness app whose conversational logic was built around suburban white users is unlikely to land. Surface tailoring is necessary but never sufficient.</w:t>
      </w:r>
    </w:p>
    <w:p w14:paraId="2E24D684" w14:textId="77777777" w:rsidR="00924B97" w:rsidRDefault="00000000">
      <w:pPr>
        <w:spacing w:after="160" w:line="276" w:lineRule="exact"/>
      </w:pPr>
      <w:r>
        <w:t xml:space="preserve">The temptation in conversational AI is to treat cultural tailoring as a localization problem: translate the strings, adjust the imagery, ship. This is precisely the error the </w:t>
      </w:r>
      <w:proofErr w:type="spellStart"/>
      <w:r>
        <w:t>Resnicow</w:t>
      </w:r>
      <w:proofErr w:type="spellEnd"/>
      <w:r>
        <w:t xml:space="preserve"> framework was written to head off. A large language model trained on a corpus dominated by one population will, by default, generate text whose deep structure reflects that population. Without deliberate intervention, the cultural defaults of the training data become the cultural defaults of the bot, and entire populations are served a version of MI that does not actually fit how they make decisions.</w:t>
      </w:r>
    </w:p>
    <w:p w14:paraId="5646530E" w14:textId="77777777" w:rsidR="00924B97" w:rsidRDefault="00000000">
      <w:pPr>
        <w:spacing w:after="160" w:line="276" w:lineRule="exact"/>
      </w:pPr>
      <w:r>
        <w:t xml:space="preserve">Conversely, conversational AI is one of the few delivery mechanisms in which deep cultural tailoring can be done at scale. A human counselor cannot fluently shift between the deep-structure assumptions of a first-generation </w:t>
      </w:r>
      <w:proofErr w:type="gramStart"/>
      <w:r>
        <w:t>Korean-American</w:t>
      </w:r>
      <w:proofErr w:type="gramEnd"/>
      <w:r>
        <w:t xml:space="preserve"> patient navigating filial decision-making and a third-generation </w:t>
      </w:r>
      <w:proofErr w:type="gramStart"/>
      <w:r>
        <w:t>African-American</w:t>
      </w:r>
      <w:proofErr w:type="gramEnd"/>
      <w:r>
        <w:t xml:space="preserve"> patient whose family’s relationship with the medical system has been shaped by historical injustice. A well-designed agent — equipped with a deep-structure cultural model, retrieval over culturally specific clinical literature, and the ability to learn from the user’s own framing — can do exactly this.</w:t>
      </w:r>
    </w:p>
    <w:p w14:paraId="62ED1667" w14:textId="77777777" w:rsidR="00924B97" w:rsidRDefault="00000000">
      <w:pPr>
        <w:pStyle w:val="Heading2"/>
      </w:pPr>
      <w:r>
        <w:t xml:space="preserve">A Worked </w:t>
      </w:r>
      <w:proofErr w:type="gramStart"/>
      <w:r>
        <w:t>Counter-Example</w:t>
      </w:r>
      <w:proofErr w:type="gramEnd"/>
    </w:p>
    <w:p w14:paraId="3C8150D9" w14:textId="77777777" w:rsidR="00924B97" w:rsidRDefault="00000000">
      <w:pPr>
        <w:spacing w:after="160" w:line="276" w:lineRule="exact"/>
      </w:pPr>
      <w:r>
        <w:t>It is easier to see what deep-structure tailoring requires by looking at what its absence produces. Consider a generic, well-intentioned diabetes self-management chatbot deployed to newly diagnosed type 2 diabetes patients. The bot uses MI techniques and has been “localized” for a Hindi-speaking population: the interface is translated, example names are South Asian, food references include common Indian dishes. By every surface-tailoring criterion, it ships ready.</w:t>
      </w:r>
    </w:p>
    <w:p w14:paraId="48077018" w14:textId="77777777" w:rsidR="00924B97" w:rsidRDefault="00000000">
      <w:pPr>
        <w:spacing w:after="160" w:line="276" w:lineRule="exact"/>
      </w:pPr>
      <w:r>
        <w:t>The patient is a 52-year-old first-generation South Asian man, Mr. Patel, recently diagnosed, living with extended family. The bot speaks fluent Hindi and English. None of the things that go wrong here have anything to do with language or imagery.</w:t>
      </w:r>
    </w:p>
    <w:p w14:paraId="60642BB3" w14:textId="77777777" w:rsidR="00924B97" w:rsidRDefault="00000000">
      <w:pPr>
        <w:spacing w:before="60" w:after="80"/>
      </w:pPr>
      <w:r>
        <w:rPr>
          <w:b/>
          <w:bCs/>
          <w:color w:val="F07840"/>
          <w:spacing w:val="30"/>
          <w:sz w:val="16"/>
          <w:szCs w:val="16"/>
        </w:rPr>
        <w:t>COUNTER-EXAMPLE · SURFACE-TAILORED, DEEP-STRUCTURE-BLIND DIABETES COACHING</w:t>
      </w:r>
    </w:p>
    <w:tbl>
      <w:tblPr>
        <w:tblW w:w="9360" w:type="dxa"/>
        <w:tblLayout w:type="fixed"/>
        <w:tblCellMar>
          <w:top w:w="140" w:type="dxa"/>
          <w:left w:w="220" w:type="dxa"/>
          <w:bottom w:w="140" w:type="dxa"/>
          <w:right w:w="200" w:type="dxa"/>
        </w:tblCellMar>
        <w:tblLook w:val="04A0" w:firstRow="1" w:lastRow="0" w:firstColumn="1" w:lastColumn="0" w:noHBand="0" w:noVBand="1"/>
      </w:tblPr>
      <w:tblGrid>
        <w:gridCol w:w="9360"/>
      </w:tblGrid>
      <w:tr w:rsidR="00924B97" w14:paraId="05297B43" w14:textId="77777777">
        <w:tc>
          <w:tcPr>
            <w:tcW w:w="9360" w:type="dxa"/>
            <w:tcBorders>
              <w:top w:val="single" w:sz="2" w:space="0" w:color="EFEDEA"/>
              <w:left w:val="single" w:sz="28" w:space="0" w:color="6A7178"/>
              <w:bottom w:val="single" w:sz="2" w:space="0" w:color="EFEDEA"/>
              <w:right w:val="single" w:sz="2" w:space="0" w:color="EFEDEA"/>
            </w:tcBorders>
            <w:shd w:val="clear" w:color="auto" w:fill="EFEDEA"/>
          </w:tcPr>
          <w:p w14:paraId="7DED49D7" w14:textId="77777777" w:rsidR="00924B97" w:rsidRDefault="00000000">
            <w:pPr>
              <w:spacing w:after="100" w:line="264" w:lineRule="exact"/>
            </w:pPr>
            <w:r>
              <w:rPr>
                <w:b/>
                <w:bCs/>
                <w:color w:val="6A7178"/>
                <w:sz w:val="20"/>
                <w:szCs w:val="20"/>
              </w:rPr>
              <w:t xml:space="preserve">Bot: </w:t>
            </w:r>
            <w:r>
              <w:rPr>
                <w:sz w:val="20"/>
                <w:szCs w:val="20"/>
              </w:rPr>
              <w:t>Hi Mr. Patel. To get your blood sugar under control, the most important step is to cut back on rice and bread. Can you commit to skipping rice at dinner this week?</w:t>
            </w:r>
          </w:p>
          <w:p w14:paraId="1336B8D1" w14:textId="77777777" w:rsidR="00924B97" w:rsidRDefault="00000000">
            <w:pPr>
              <w:spacing w:after="100" w:line="264" w:lineRule="exact"/>
            </w:pPr>
            <w:r>
              <w:rPr>
                <w:b/>
                <w:bCs/>
                <w:color w:val="283038"/>
                <w:sz w:val="20"/>
                <w:szCs w:val="20"/>
              </w:rPr>
              <w:t xml:space="preserve">Patient: </w:t>
            </w:r>
            <w:r>
              <w:rPr>
                <w:sz w:val="20"/>
                <w:szCs w:val="20"/>
              </w:rPr>
              <w:t>My wife cooks for the whole family. We eat together every night. I cannot tell her to make a different meal just for me.</w:t>
            </w:r>
          </w:p>
          <w:p w14:paraId="355CD935" w14:textId="77777777" w:rsidR="00924B97" w:rsidRDefault="00000000">
            <w:pPr>
              <w:spacing w:after="100" w:line="264" w:lineRule="exact"/>
            </w:pPr>
            <w:r>
              <w:rPr>
                <w:b/>
                <w:bCs/>
                <w:color w:val="6A7178"/>
                <w:sz w:val="20"/>
                <w:szCs w:val="20"/>
              </w:rPr>
              <w:t xml:space="preserve">Bot: </w:t>
            </w:r>
            <w:r>
              <w:rPr>
                <w:sz w:val="20"/>
                <w:szCs w:val="20"/>
              </w:rPr>
              <w:t>I hear that this is hard. But your A1c is high and reducing carbohydrates is the most effective change you can make. Even a small reduction in rice would help. Could you start with half a portion?</w:t>
            </w:r>
          </w:p>
          <w:p w14:paraId="46059155" w14:textId="77777777" w:rsidR="00924B97" w:rsidRDefault="00000000">
            <w:pPr>
              <w:spacing w:after="100" w:line="264" w:lineRule="exact"/>
            </w:pPr>
            <w:r>
              <w:rPr>
                <w:b/>
                <w:bCs/>
                <w:color w:val="283038"/>
                <w:sz w:val="20"/>
                <w:szCs w:val="20"/>
              </w:rPr>
              <w:t xml:space="preserve">Patient: </w:t>
            </w:r>
            <w:r>
              <w:rPr>
                <w:sz w:val="20"/>
                <w:szCs w:val="20"/>
              </w:rPr>
              <w:t>Maybe.</w:t>
            </w:r>
          </w:p>
          <w:p w14:paraId="5EA543DE" w14:textId="77777777" w:rsidR="00924B97" w:rsidRDefault="00000000">
            <w:r>
              <w:rPr>
                <w:b/>
                <w:bCs/>
                <w:color w:val="6A7178"/>
                <w:sz w:val="20"/>
                <w:szCs w:val="20"/>
              </w:rPr>
              <w:t xml:space="preserve">Bot: </w:t>
            </w:r>
            <w:r>
              <w:rPr>
                <w:sz w:val="20"/>
                <w:szCs w:val="20"/>
              </w:rPr>
              <w:t>Great! Let’s set a goal: half a portion of rice at dinner, six nights this week. I’ll check in tomorrow. You’ve got this!</w:t>
            </w:r>
          </w:p>
        </w:tc>
      </w:tr>
    </w:tbl>
    <w:p w14:paraId="236A6420" w14:textId="77777777" w:rsidR="00924B97" w:rsidRDefault="00924B97">
      <w:pPr>
        <w:spacing w:after="120"/>
      </w:pPr>
    </w:p>
    <w:p w14:paraId="438FEE99" w14:textId="77777777" w:rsidR="00924B97" w:rsidRDefault="00000000">
      <w:pPr>
        <w:spacing w:after="160" w:line="276" w:lineRule="exact"/>
      </w:pPr>
      <w:r>
        <w:t>Everything visible is technically correct. The advice is evidence-based, the tone is warm, the bot uses an open question and a reflection, and a SMART goal is set. Nothing in the surface-tailoring layer is wrong. And yet the conversation is almost certainly going to fail, for reasons that are entirely visible at the deep-structure cultural layer the bot does not see:</w:t>
      </w:r>
    </w:p>
    <w:p w14:paraId="03C14EA9" w14:textId="77777777" w:rsidR="00924B97" w:rsidRDefault="00000000">
      <w:pPr>
        <w:pStyle w:val="ListParagraph"/>
        <w:numPr>
          <w:ilvl w:val="0"/>
          <w:numId w:val="3"/>
        </w:numPr>
        <w:spacing w:after="90" w:line="270" w:lineRule="exact"/>
      </w:pPr>
      <w:r>
        <w:rPr>
          <w:b/>
          <w:bCs/>
          <w:color w:val="283038"/>
        </w:rPr>
        <w:t xml:space="preserve">The decision-making model is wrong. </w:t>
      </w:r>
      <w:r>
        <w:t>In Mr. Patel’s household, food decisions are not individual; they are made by the cook — his wife — in the context of feeding the whole family. The bot has accepted his “maybe” as a step toward commitment when it is more likely a polite signal that the request does not fit his world.</w:t>
      </w:r>
    </w:p>
    <w:p w14:paraId="29F34C2A" w14:textId="77777777" w:rsidR="00924B97" w:rsidRDefault="00000000">
      <w:pPr>
        <w:pStyle w:val="ListParagraph"/>
        <w:numPr>
          <w:ilvl w:val="0"/>
          <w:numId w:val="1"/>
        </w:numPr>
        <w:spacing w:after="90" w:line="270" w:lineRule="exact"/>
      </w:pPr>
      <w:r>
        <w:rPr>
          <w:b/>
          <w:bCs/>
          <w:color w:val="283038"/>
        </w:rPr>
        <w:t xml:space="preserve">Rice is not a carbohydrate; it is a meal. </w:t>
      </w:r>
      <w:r>
        <w:t>Basmati rice paired with dal and sabzi is not a “carb” to be reduced — it is the structure of the meal itself, with religious, familial, and identity meanings. A bot that speaks Hindi but treats rice as a calorie source is using surface vocabulary against deep meaning.</w:t>
      </w:r>
    </w:p>
    <w:p w14:paraId="75BDA585" w14:textId="77777777" w:rsidR="00924B97" w:rsidRDefault="00000000">
      <w:pPr>
        <w:pStyle w:val="ListParagraph"/>
        <w:numPr>
          <w:ilvl w:val="0"/>
          <w:numId w:val="1"/>
        </w:numPr>
        <w:spacing w:after="90" w:line="270" w:lineRule="exact"/>
      </w:pPr>
      <w:r>
        <w:rPr>
          <w:b/>
          <w:bCs/>
          <w:color w:val="283038"/>
        </w:rPr>
        <w:t xml:space="preserve">The hierarchy of advice-giving is wrong. </w:t>
      </w:r>
      <w:r>
        <w:t>A bot in the position of a young, unfamiliar advisor telling an older man to disrupt his household routines is, in a culturally specific sense, breaking a social code.</w:t>
      </w:r>
    </w:p>
    <w:p w14:paraId="0783DD59" w14:textId="77777777" w:rsidR="00924B97" w:rsidRDefault="00000000">
      <w:pPr>
        <w:pStyle w:val="ListParagraph"/>
        <w:numPr>
          <w:ilvl w:val="0"/>
          <w:numId w:val="1"/>
        </w:numPr>
        <w:spacing w:after="90" w:line="270" w:lineRule="exact"/>
      </w:pPr>
      <w:r>
        <w:rPr>
          <w:b/>
          <w:bCs/>
          <w:color w:val="283038"/>
        </w:rPr>
        <w:t xml:space="preserve">Permission was not asked. </w:t>
      </w:r>
      <w:r>
        <w:t>MI calls for permission before advice; deep-structure cultural tailoring calls for it doubly, because in many South Asian framings unsolicited dietary advice from outside the family is socially inappropriate even when correct.</w:t>
      </w:r>
    </w:p>
    <w:p w14:paraId="68CF66BD" w14:textId="77777777" w:rsidR="00924B97" w:rsidRDefault="00000000">
      <w:pPr>
        <w:spacing w:after="160" w:line="276" w:lineRule="exact"/>
      </w:pPr>
      <w:r>
        <w:t xml:space="preserve">The contextually engineered, deep-structure-tailored version of the same conversation does not look like the surface version with better translation. It looks like a different conversation. It would open by asking who in the household decides what is </w:t>
      </w:r>
      <w:proofErr w:type="gramStart"/>
      <w:r>
        <w:t>cooked, and</w:t>
      </w:r>
      <w:proofErr w:type="gramEnd"/>
      <w:r>
        <w:t xml:space="preserve"> would treat that person — or the family unit — as part of the change conversation. It would frame the goal as “smaller portions of rice paired with more dal and vegetables, served at the same family meal” rather than “skip the rice.” It would adjust the hierarchy of voice the bot adopts: less directive, more curious. None of these adjustments is exotic; each follows from the deep-structure cultural model the system reasons against at every turn.</w:t>
      </w:r>
    </w:p>
    <w:p w14:paraId="77A53E78" w14:textId="77777777" w:rsidR="00924B97" w:rsidRDefault="00000000">
      <w:pPr>
        <w:pStyle w:val="Heading2"/>
      </w:pPr>
      <w:r>
        <w:t>Cultural Tailoring as Architecture, Not Styling</w:t>
      </w:r>
    </w:p>
    <w:p w14:paraId="195A6B52" w14:textId="77777777" w:rsidR="00924B97" w:rsidRDefault="00000000">
      <w:pPr>
        <w:spacing w:after="160" w:line="276" w:lineRule="exact"/>
      </w:pPr>
      <w:r>
        <w:t>In a contextually engineered AI coach, cultural tailoring is a structural component of the context the model reasons over at every turn. The cultural model contributes four things to every interpretation:</w:t>
      </w:r>
    </w:p>
    <w:p w14:paraId="3CD3E7A8" w14:textId="77777777" w:rsidR="00924B97" w:rsidRDefault="00000000">
      <w:pPr>
        <w:pStyle w:val="ListParagraph"/>
        <w:numPr>
          <w:ilvl w:val="0"/>
          <w:numId w:val="1"/>
        </w:numPr>
        <w:spacing w:after="90" w:line="270" w:lineRule="exact"/>
      </w:pPr>
      <w:r>
        <w:rPr>
          <w:b/>
          <w:bCs/>
          <w:color w:val="283038"/>
        </w:rPr>
        <w:t xml:space="preserve">Vocabulary and framing. </w:t>
      </w:r>
      <w:r>
        <w:t>How is this behavior named in the user’s cultural world? Rice is a meal, not a carb. Mental health is “stress” or a family issue, not a diagnosis. Insulin is a sign of failure, or a sign of having a serious illness, depending on the community.</w:t>
      </w:r>
    </w:p>
    <w:p w14:paraId="286ADAB8" w14:textId="77777777" w:rsidR="00924B97" w:rsidRDefault="00000000">
      <w:pPr>
        <w:pStyle w:val="ListParagraph"/>
        <w:numPr>
          <w:ilvl w:val="0"/>
          <w:numId w:val="1"/>
        </w:numPr>
        <w:spacing w:after="90" w:line="270" w:lineRule="exact"/>
      </w:pPr>
      <w:r>
        <w:rPr>
          <w:b/>
          <w:bCs/>
          <w:color w:val="283038"/>
        </w:rPr>
        <w:t xml:space="preserve">Decision-making model. </w:t>
      </w:r>
      <w:r>
        <w:t>Who is in the decision circle? The patient alone, the patient and spouse, the extended family, the religious community, the elder.</w:t>
      </w:r>
    </w:p>
    <w:p w14:paraId="265591A6" w14:textId="77777777" w:rsidR="00924B97" w:rsidRDefault="00000000">
      <w:pPr>
        <w:pStyle w:val="ListParagraph"/>
        <w:numPr>
          <w:ilvl w:val="0"/>
          <w:numId w:val="1"/>
        </w:numPr>
        <w:spacing w:after="90" w:line="270" w:lineRule="exact"/>
      </w:pPr>
      <w:r>
        <w:rPr>
          <w:b/>
          <w:bCs/>
          <w:color w:val="283038"/>
        </w:rPr>
        <w:t xml:space="preserve">Authority and trust calibration. </w:t>
      </w:r>
      <w:r>
        <w:t>How directly should the coach offer advice? How much trust in the medical system can be assumed? Where is permission especially important? Who are the trusted advisors in the community?</w:t>
      </w:r>
    </w:p>
    <w:p w14:paraId="3BC147C0" w14:textId="77777777" w:rsidR="00924B97" w:rsidRDefault="00000000">
      <w:pPr>
        <w:pStyle w:val="ListParagraph"/>
        <w:numPr>
          <w:ilvl w:val="0"/>
          <w:numId w:val="1"/>
        </w:numPr>
        <w:spacing w:after="90" w:line="270" w:lineRule="exact"/>
      </w:pPr>
      <w:r>
        <w:rPr>
          <w:b/>
          <w:bCs/>
          <w:color w:val="283038"/>
        </w:rPr>
        <w:t xml:space="preserve">Deep-structure value system. </w:t>
      </w:r>
      <w:r>
        <w:t>What underlying values — filial duty, faith, communal obligation, autonomy, self-reliance — are doing the work of motivation in this user’s world? The coach evokes change talk anchored to those values, not to a generic individualist register.</w:t>
      </w:r>
    </w:p>
    <w:p w14:paraId="00EA5E4E" w14:textId="77777777" w:rsidR="00924B97" w:rsidRDefault="00000000">
      <w:pPr>
        <w:spacing w:after="160" w:line="276" w:lineRule="exact"/>
      </w:pPr>
      <w:r>
        <w:t xml:space="preserve">Operationalizing this means building cultural models (not just translations) for each priority population, reflecting cultural framings the user introduces, co-designing with the community, and stratifying retention, conversion, and clinical outcomes by demographic group from day one. </w:t>
      </w:r>
      <w:r>
        <w:rPr>
          <w:b/>
          <w:bCs/>
          <w:color w:val="283038"/>
        </w:rPr>
        <w:t>Properly executed, deep-structure cultural tailoring does not water down the science of MI; it is the science of MI applied with the seriousness the method demands.</w:t>
      </w:r>
    </w:p>
    <w:p w14:paraId="3A3089BD" w14:textId="77777777" w:rsidR="00924B97" w:rsidRDefault="00000000">
      <w:pPr>
        <w:pStyle w:val="Heading1"/>
        <w:pBdr>
          <w:bottom w:val="single" w:sz="14" w:space="6" w:color="F07840"/>
        </w:pBdr>
      </w:pPr>
      <w:bookmarkStart w:id="9" w:name="__RefHeading___Toc345_2922346544"/>
      <w:bookmarkEnd w:id="9"/>
      <w:proofErr w:type="gramStart"/>
      <w:r>
        <w:rPr>
          <w:color w:val="F07840"/>
        </w:rPr>
        <w:t xml:space="preserve">10  </w:t>
      </w:r>
      <w:r>
        <w:t>Implementation</w:t>
      </w:r>
      <w:proofErr w:type="gramEnd"/>
      <w:r>
        <w:t xml:space="preserve"> Framework</w:t>
      </w:r>
    </w:p>
    <w:p w14:paraId="7320E25D" w14:textId="77777777" w:rsidR="00924B97" w:rsidRDefault="00000000">
      <w:pPr>
        <w:spacing w:after="160" w:line="276" w:lineRule="exact"/>
      </w:pPr>
      <w:r>
        <w:t>Translating MI into production is not a prompt-engineering exercise. It is the design of a contextually engineered AI coach with a four-layer architecture, each layer separately testable.</w:t>
      </w:r>
    </w:p>
    <w:tbl>
      <w:tblPr>
        <w:tblW w:w="9360" w:type="dxa"/>
        <w:tblLayout w:type="fixed"/>
        <w:tblCellMar>
          <w:top w:w="140" w:type="dxa"/>
          <w:left w:w="220" w:type="dxa"/>
          <w:bottom w:w="140" w:type="dxa"/>
          <w:right w:w="200" w:type="dxa"/>
        </w:tblCellMar>
        <w:tblLook w:val="04A0" w:firstRow="1" w:lastRow="0" w:firstColumn="1" w:lastColumn="0" w:noHBand="0" w:noVBand="1"/>
      </w:tblPr>
      <w:tblGrid>
        <w:gridCol w:w="9360"/>
      </w:tblGrid>
      <w:tr w:rsidR="00924B97" w14:paraId="21F1C511" w14:textId="77777777">
        <w:tc>
          <w:tcPr>
            <w:tcW w:w="9360" w:type="dxa"/>
            <w:tcBorders>
              <w:top w:val="single" w:sz="2" w:space="0" w:color="FBEAE0"/>
              <w:left w:val="single" w:sz="28" w:space="0" w:color="F07840"/>
              <w:bottom w:val="single" w:sz="2" w:space="0" w:color="FBEAE0"/>
              <w:right w:val="single" w:sz="2" w:space="0" w:color="FBEAE0"/>
            </w:tcBorders>
            <w:shd w:val="clear" w:color="auto" w:fill="FBEAE0"/>
          </w:tcPr>
          <w:p w14:paraId="4F98F2C2" w14:textId="77777777" w:rsidR="00924B97" w:rsidRDefault="00000000">
            <w:pPr>
              <w:spacing w:after="110" w:line="276" w:lineRule="exact"/>
            </w:pPr>
            <w:r>
              <w:rPr>
                <w:b/>
                <w:bCs/>
                <w:color w:val="283038"/>
              </w:rPr>
              <w:t xml:space="preserve">Layer 1 — The model.  </w:t>
            </w:r>
            <w:r>
              <w:t>A capable foundation model is necessary but not sufficient. The model is the engine, not the coach.</w:t>
            </w:r>
          </w:p>
          <w:p w14:paraId="39A5E8C0" w14:textId="77777777" w:rsidR="00924B97" w:rsidRDefault="00000000">
            <w:pPr>
              <w:spacing w:after="110" w:line="276" w:lineRule="exact"/>
            </w:pPr>
            <w:r>
              <w:rPr>
                <w:b/>
                <w:bCs/>
                <w:color w:val="283038"/>
              </w:rPr>
              <w:t xml:space="preserve">Layer 2 — The context-engineering layer.  </w:t>
            </w:r>
            <w:r>
              <w:t>The deliberate construction of what the model sees at each turn: system prompt, retrieved evidence, user model, cultural model, current MI process state, structured conversation history, tool definitions. This is where most of the engineering work lives and most failure modes originate.</w:t>
            </w:r>
          </w:p>
          <w:p w14:paraId="2CDED349" w14:textId="77777777" w:rsidR="00924B97" w:rsidRDefault="00000000">
            <w:pPr>
              <w:spacing w:after="110" w:line="276" w:lineRule="exact"/>
            </w:pPr>
            <w:r>
              <w:rPr>
                <w:b/>
                <w:bCs/>
                <w:color w:val="283038"/>
              </w:rPr>
              <w:t xml:space="preserve">Layer 3 — The interpretive layer.  </w:t>
            </w:r>
            <w:r>
              <w:t>Pre- and post-processing that classifies user utterances against the MI rubric, the cultural model, and safety-routing criteria — and that scores the model’s candidate responses on the same rubric before they are returned to the user.</w:t>
            </w:r>
          </w:p>
          <w:p w14:paraId="7B5C6092" w14:textId="77777777" w:rsidR="00924B97" w:rsidRDefault="00000000">
            <w:pPr>
              <w:spacing w:line="276" w:lineRule="exact"/>
            </w:pPr>
            <w:r>
              <w:rPr>
                <w:b/>
                <w:bCs/>
                <w:color w:val="283038"/>
              </w:rPr>
              <w:t xml:space="preserve">Layer 4 — The conversational surface.  </w:t>
            </w:r>
            <w:r>
              <w:t xml:space="preserve">The user-facing turn. In a well-built system, this is the thinnest layer. By the time an utterance reaches it, almost </w:t>
            </w:r>
            <w:proofErr w:type="gramStart"/>
            <w:r>
              <w:t>all of</w:t>
            </w:r>
            <w:proofErr w:type="gramEnd"/>
            <w:r>
              <w:t xml:space="preserve"> the work has already happened.</w:t>
            </w:r>
          </w:p>
        </w:tc>
      </w:tr>
    </w:tbl>
    <w:p w14:paraId="5321D299" w14:textId="77777777" w:rsidR="00924B97" w:rsidRDefault="00924B97">
      <w:pPr>
        <w:spacing w:after="120"/>
      </w:pPr>
    </w:p>
    <w:p w14:paraId="539924FA" w14:textId="77777777" w:rsidR="00924B97" w:rsidRDefault="00000000">
      <w:pPr>
        <w:spacing w:after="160" w:line="276" w:lineRule="exact"/>
      </w:pPr>
      <w:r>
        <w:t xml:space="preserve">The most common failure pattern is the inversion of this stack: heavy investment in the conversational surface and the model choice, light or absent investment in the context-engineering and interpretive layers. The result is a fluent </w:t>
      </w:r>
      <w:proofErr w:type="spellStart"/>
      <w:r>
        <w:t>bot</w:t>
      </w:r>
      <w:proofErr w:type="spellEnd"/>
      <w:r>
        <w:t xml:space="preserve"> that does not interpret.</w:t>
      </w:r>
    </w:p>
    <w:p w14:paraId="352C6C27" w14:textId="77777777" w:rsidR="00924B97" w:rsidRDefault="00000000">
      <w:pPr>
        <w:spacing w:after="160" w:line="276" w:lineRule="exact"/>
      </w:pPr>
      <w:r>
        <w:rPr>
          <w:b/>
          <w:bCs/>
          <w:color w:val="283038"/>
        </w:rPr>
        <w:t xml:space="preserve">Encode the spirit, not just the techniques. </w:t>
      </w:r>
      <w:r>
        <w:t>Instructing the model to “use OARS” without instructing it to inhabit the spirit of MI produces bots that ask open questions sarcastically and reflect mechanically. The system prompt should describe partnership, acceptance, compassion, and evocation in operational language (“the user is the expert on their own life,” “do not contradict; reflect”) and explicitly forbid the most common failure modes (premature advice, faux empathy, pressure tactics).</w:t>
      </w:r>
    </w:p>
    <w:p w14:paraId="043DEC23" w14:textId="77777777" w:rsidR="00924B97" w:rsidRDefault="00000000">
      <w:pPr>
        <w:spacing w:after="160" w:line="276" w:lineRule="exact"/>
      </w:pPr>
      <w:r>
        <w:rPr>
          <w:b/>
          <w:bCs/>
          <w:color w:val="283038"/>
        </w:rPr>
        <w:t xml:space="preserve">Name the moves and the temptations. </w:t>
      </w:r>
      <w:r>
        <w:t>Tell the model to favor reflections over questions in roughly a two-to-one ratio. Tell it to ask permission before giving information. Name the “righting reflex” by name and instruct the model to notice and resist it. Provide canonical examples of change talk and sustain talk and tell the model what to do with each.</w:t>
      </w:r>
    </w:p>
    <w:p w14:paraId="5698B7A1" w14:textId="77777777" w:rsidR="00924B97" w:rsidRDefault="00000000">
      <w:pPr>
        <w:spacing w:after="160" w:line="276" w:lineRule="exact"/>
      </w:pPr>
      <w:r>
        <w:rPr>
          <w:b/>
          <w:bCs/>
          <w:color w:val="283038"/>
        </w:rPr>
        <w:t xml:space="preserve">Borrow the human evaluation rubric. </w:t>
      </w:r>
      <w:r>
        <w:t>The OnePass coding manual provides a published rubric — global ratings of cultivating change talk, softening resistance, building partnership, and reflecting empathy, plus behavior counts of reflections, questions, eliciting permission, and affirming commitment, attempts, and effort — that can be adapted as an LLM-as-judge or human-coded eval. Sampling two hundred conversations per week and scoring them gives a defensible quality signal. Pair it with downstream outcome metrics (conversion, refill rate, retention at 30/90/360 days) to keep conversational quality and business outcome aligned.</w:t>
      </w:r>
    </w:p>
    <w:p w14:paraId="3BC98F2E" w14:textId="77777777" w:rsidR="00924B97" w:rsidRDefault="00000000">
      <w:pPr>
        <w:spacing w:after="160" w:line="276" w:lineRule="exact"/>
      </w:pPr>
      <w:r>
        <w:rPr>
          <w:b/>
          <w:bCs/>
          <w:color w:val="283038"/>
        </w:rPr>
        <w:t xml:space="preserve">Governance. </w:t>
      </w:r>
      <w:r>
        <w:t>In healthcare deployments, MI bots must operate inside clinical governance: documented scope of practice, escalation criteria, HIPAA-compliant data handling, and — where applicable — FDA software-as-a-medical-device classification. In commerce, the relevant guardrails are consumer-protection law and dark-patterns guidance. MI introduces a particular ethical risk: it works partly by lowering defenses, and a system using MI to push users toward outcomes not in their interest is doing harm. Align the bot’s objective function with the user’s welfare, audit for divergence, and disclose the bot’s nature and purpose.</w:t>
      </w:r>
    </w:p>
    <w:p w14:paraId="3E869C92" w14:textId="77777777" w:rsidR="00924B97" w:rsidRDefault="00000000">
      <w:pPr>
        <w:spacing w:after="160" w:line="276" w:lineRule="exact"/>
      </w:pPr>
      <w:r>
        <w:rPr>
          <w:b/>
          <w:bCs/>
          <w:color w:val="283038"/>
        </w:rPr>
        <w:t xml:space="preserve">A 90-day rollout pattern. </w:t>
      </w:r>
      <w:r>
        <w:t>Days 1–30: define use case scope, identify the change behavior, draft the system prompt, and assemble a hand-coded golden set of MI exemplars. Days 31–60: pilot with a controlled cohort or held-out segment; code conversations weekly; iterate the prompt and retrieval based on coded weaknesses. Days 61–90: expand traffic, instrument outcome metrics, stand up the ongoing audit cadence, and plan integration points with human counselors, sales reps, or clinicians.</w:t>
      </w:r>
    </w:p>
    <w:p w14:paraId="4D31641B" w14:textId="77777777" w:rsidR="00924B97" w:rsidRDefault="00000000">
      <w:pPr>
        <w:pStyle w:val="Heading1"/>
        <w:pBdr>
          <w:bottom w:val="single" w:sz="14" w:space="6" w:color="F07840"/>
        </w:pBdr>
      </w:pPr>
      <w:bookmarkStart w:id="10" w:name="__RefHeading___Toc347_2922346544"/>
      <w:bookmarkEnd w:id="10"/>
      <w:proofErr w:type="gramStart"/>
      <w:r>
        <w:rPr>
          <w:color w:val="F07840"/>
        </w:rPr>
        <w:t xml:space="preserve">11  </w:t>
      </w:r>
      <w:r>
        <w:t>Risks</w:t>
      </w:r>
      <w:proofErr w:type="gramEnd"/>
      <w:r>
        <w:t xml:space="preserve"> and Limitations</w:t>
      </w:r>
    </w:p>
    <w:p w14:paraId="7ADA3C31" w14:textId="77777777" w:rsidR="00924B97" w:rsidRDefault="00000000">
      <w:pPr>
        <w:spacing w:after="160" w:line="276" w:lineRule="exact"/>
      </w:pPr>
      <w:r>
        <w:rPr>
          <w:b/>
          <w:bCs/>
          <w:color w:val="283038"/>
        </w:rPr>
        <w:t xml:space="preserve">MI is not appropriate for every conversation. </w:t>
      </w:r>
      <w:r>
        <w:t>It is a method for helping ambivalent people resolve ambivalence in the direction of a healthy or considered choice. It is not for delivering urgent safety information, crisis triage, or transactions where the user simply wants to complete a task. A user asking “what time does my pharmacy close” needs an answer, not a reflection. Good MI deployments include classifiers that route transactional, informational, and crisis-flagged turns out of the MI flow.</w:t>
      </w:r>
    </w:p>
    <w:p w14:paraId="21442295" w14:textId="77777777" w:rsidR="00924B97" w:rsidRDefault="00000000">
      <w:pPr>
        <w:spacing w:after="160" w:line="276" w:lineRule="exact"/>
      </w:pPr>
      <w:r>
        <w:rPr>
          <w:b/>
          <w:bCs/>
          <w:color w:val="283038"/>
        </w:rPr>
        <w:t xml:space="preserve">The manipulation risk is real. </w:t>
      </w:r>
      <w:r>
        <w:t>The same techniques that help a patient adhere to a beneficial medication can be used to keep a customer in a subscription that is not serving them. The discipline is in the objective function: an MI bot whose only job is conversion will eventually produce dark-pattern outputs, however well-intentioned its prompt. Aligning the bot’s incentive with the user’s welfare — and auditing for divergence — is non-negotiable.</w:t>
      </w:r>
    </w:p>
    <w:p w14:paraId="4DEF6E7E" w14:textId="77777777" w:rsidR="00924B97" w:rsidRDefault="00000000">
      <w:pPr>
        <w:spacing w:after="160" w:line="276" w:lineRule="exact"/>
      </w:pPr>
      <w:r>
        <w:rPr>
          <w:b/>
          <w:bCs/>
          <w:color w:val="283038"/>
        </w:rPr>
        <w:t xml:space="preserve">Cultural defaults are inherited from training data. </w:t>
      </w:r>
      <w:r>
        <w:t xml:space="preserve">Treating cultural tailoring as a post-hoc localization step rather than a first-class design constraint is a recipe for disparate outcomes across populations. The fix is </w:t>
      </w:r>
      <w:proofErr w:type="gramStart"/>
      <w:r>
        <w:t>upstream,</w:t>
      </w:r>
      <w:proofErr w:type="gramEnd"/>
      <w:r>
        <w:t xml:space="preserve"> in the cultural model the bot operates from — not in the user-interface layer.</w:t>
      </w:r>
    </w:p>
    <w:p w14:paraId="756EB2BC" w14:textId="77777777" w:rsidR="00924B97" w:rsidRDefault="00000000">
      <w:pPr>
        <w:pStyle w:val="Heading1"/>
        <w:pBdr>
          <w:bottom w:val="single" w:sz="14" w:space="6" w:color="F07840"/>
        </w:pBdr>
      </w:pPr>
      <w:bookmarkStart w:id="11" w:name="__RefHeading___Toc349_2922346544"/>
      <w:bookmarkEnd w:id="11"/>
      <w:proofErr w:type="gramStart"/>
      <w:r>
        <w:rPr>
          <w:color w:val="F07840"/>
        </w:rPr>
        <w:t xml:space="preserve">12  </w:t>
      </w:r>
      <w:r>
        <w:t>Conclusion</w:t>
      </w:r>
      <w:proofErr w:type="gramEnd"/>
    </w:p>
    <w:p w14:paraId="32CBC3C5" w14:textId="77777777" w:rsidR="00924B97" w:rsidRDefault="00000000">
      <w:pPr>
        <w:spacing w:after="160" w:line="276" w:lineRule="exact"/>
      </w:pPr>
      <w:r>
        <w:t xml:space="preserve">The case for Motivational Interviewing in AI coaches is not that it makes them friendlier. It is that it makes them work better at the job they are increasingly being asked to </w:t>
      </w:r>
      <w:proofErr w:type="gramStart"/>
      <w:r>
        <w:t>do:</w:t>
      </w:r>
      <w:proofErr w:type="gramEnd"/>
      <w:r>
        <w:t xml:space="preserve"> help humans make decisions and sustain behaviors that are hard. The same mechanism that drives MI’s effectiveness with human counselors — evoking the user’s own reasons for change rather than installing the practitioner’s — maps unusually cleanly to large language models, which are exceptionally good at reflection, paraphrase, and structured listening, and which can be evaluated against the same OnePass rubric used to assess MI fidelity in human counselors. </w:t>
      </w:r>
      <w:r>
        <w:rPr>
          <w:b/>
          <w:bCs/>
          <w:color w:val="283038"/>
        </w:rPr>
        <w:t>But that mapping only holds when the system is built as a contextually engineered architecture, not as a conversational surface over a generic model.</w:t>
      </w:r>
      <w:r>
        <w:t xml:space="preserve"> The MI behavioral layer, the longitudinal user model, and the deep-structure cultural model are not optional features; they are the layers that make the difference between a fluent chatbot and an AI coach that </w:t>
      </w:r>
      <w:proofErr w:type="gramStart"/>
      <w:r>
        <w:t>actually changes</w:t>
      </w:r>
      <w:proofErr w:type="gramEnd"/>
      <w:r>
        <w:t xml:space="preserve"> outcomes.</w:t>
      </w:r>
    </w:p>
    <w:p w14:paraId="4E221E94" w14:textId="77777777" w:rsidR="00924B97" w:rsidRDefault="00000000">
      <w:pPr>
        <w:spacing w:after="160" w:line="276" w:lineRule="exact"/>
      </w:pPr>
      <w:r>
        <w:t xml:space="preserve">Across the four use cases examined here, the pattern is consistent. In online sales, MI lowers buyer regret and lifts qualified conversion by treating ambivalence as information rather than friction. In medication adherence, MI improves persistence and patient-reported outcomes by addressing the ambivalence that drives most nonadherence. In mental health, MI keeps ambivalent patients in conversation with the care system long enough for treatment to begin. In chronic disease management, MI builds the internal motivation that powers the behavior changes that move clinical biomarkers. And in every one of these contexts, deep-structure cultural tailoring of the kind </w:t>
      </w:r>
      <w:proofErr w:type="spellStart"/>
      <w:r>
        <w:t>Resnicow’s</w:t>
      </w:r>
      <w:proofErr w:type="spellEnd"/>
      <w:r>
        <w:t xml:space="preserve"> framework demands is what separates an intervention that works in aggregate from one that works for the people most underserved by current options. The technical lift is modest; the discipline lift is the hard part, and it is where the next generation of conversational AI will be won or lost.</w:t>
      </w:r>
    </w:p>
    <w:p w14:paraId="0DFBEE95" w14:textId="77777777" w:rsidR="00924B97" w:rsidRDefault="00000000">
      <w:r>
        <w:br w:type="page"/>
      </w:r>
    </w:p>
    <w:p w14:paraId="14FC834D" w14:textId="77777777" w:rsidR="00924B97" w:rsidRDefault="00000000">
      <w:r>
        <w:rPr>
          <w:noProof/>
        </w:rPr>
        <w:drawing>
          <wp:inline distT="0" distB="0" distL="0" distR="0" wp14:anchorId="51EC0A71" wp14:editId="67596891">
            <wp:extent cx="2362200" cy="600075"/>
            <wp:effectExtent l="0" t="0" r="0" b="0"/>
            <wp:docPr id="2" name="logo2" descr="Chronilogix&#10;Chronilogi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2" descr="Chronilogix&#10;Chronilogix logo"/>
                    <pic:cNvPicPr>
                      <a:picLocks noChangeAspect="1" noChangeArrowheads="1"/>
                    </pic:cNvPicPr>
                  </pic:nvPicPr>
                  <pic:blipFill>
                    <a:blip r:embed="rId7"/>
                    <a:stretch>
                      <a:fillRect/>
                    </a:stretch>
                  </pic:blipFill>
                  <pic:spPr bwMode="auto">
                    <a:xfrm>
                      <a:off x="0" y="0"/>
                      <a:ext cx="2362200" cy="600075"/>
                    </a:xfrm>
                    <a:prstGeom prst="rect">
                      <a:avLst/>
                    </a:prstGeom>
                  </pic:spPr>
                </pic:pic>
              </a:graphicData>
            </a:graphic>
          </wp:inline>
        </w:drawing>
      </w:r>
    </w:p>
    <w:p w14:paraId="3645EB27" w14:textId="77777777" w:rsidR="00924B97" w:rsidRDefault="00000000">
      <w:pPr>
        <w:pBdr>
          <w:bottom w:val="single" w:sz="14" w:space="6" w:color="F07840"/>
        </w:pBdr>
        <w:spacing w:before="220" w:after="140"/>
      </w:pPr>
      <w:r>
        <w:rPr>
          <w:rFonts w:ascii="Georgia" w:eastAsia="Georgia" w:hAnsi="Georgia" w:cs="Georgia"/>
          <w:b/>
          <w:bCs/>
          <w:color w:val="283038"/>
          <w:sz w:val="30"/>
          <w:szCs w:val="30"/>
        </w:rPr>
        <w:t>About Chronilogix</w:t>
      </w:r>
    </w:p>
    <w:p w14:paraId="335B0A44" w14:textId="77777777" w:rsidR="00924B97" w:rsidRDefault="00000000">
      <w:pPr>
        <w:spacing w:after="160" w:line="276" w:lineRule="exact"/>
      </w:pPr>
      <w:r>
        <w:t>Chronilogix is a behavior-change technology company. We build contextually engineered AI coaches — not chatbots — for organizations that need to change human behavior at scale across health, wellness, and consumer engagement. A chatbot executes a script or improvises against a prompt. Our coaches interpret each user utterance against an MI behavioral rubric, a longitudinal user model, and a deep-structure cultural model, and select the next move from that interpretation. Personalization is not a feature added at the language layer; it is engineered into every level of the interpretive stack.</w:t>
      </w:r>
    </w:p>
    <w:p w14:paraId="46A5970A" w14:textId="77777777" w:rsidR="00924B97" w:rsidRDefault="00000000">
      <w:pPr>
        <w:spacing w:after="160" w:line="276" w:lineRule="exact"/>
      </w:pPr>
      <w:r>
        <w:t xml:space="preserve">The scientific foundation of the company is the published work of our Co-Founder and Chief Science Officer, </w:t>
      </w:r>
      <w:r>
        <w:rPr>
          <w:b/>
          <w:bCs/>
          <w:color w:val="283038"/>
        </w:rPr>
        <w:t xml:space="preserve">Dr. Kenneth </w:t>
      </w:r>
      <w:proofErr w:type="spellStart"/>
      <w:r>
        <w:rPr>
          <w:b/>
          <w:bCs/>
          <w:color w:val="283038"/>
        </w:rPr>
        <w:t>Resnicow</w:t>
      </w:r>
      <w:proofErr w:type="spellEnd"/>
      <w:r>
        <w:t>, Professor in the Division of Epidemiology &amp; Community Health at the University of Michigan School of Public Health and the author of more than four hundred peer-reviewed publications on motivational interviewing, cultural tailoring, and chronic disease behavior change. His randomized trials in nutrition, weight management, smoking cessation, and pediatric obesity helped establish the modern evidence base for MI in medical settings, and his surface-versus-deep-structure framework remains the most widely used model for cultural tailoring of health interventions.</w:t>
      </w:r>
    </w:p>
    <w:p w14:paraId="59A02749" w14:textId="77777777" w:rsidR="00924B97" w:rsidRDefault="00000000">
      <w:pPr>
        <w:pStyle w:val="Heading2"/>
      </w:pPr>
      <w:r>
        <w:t>What We Do</w:t>
      </w:r>
    </w:p>
    <w:p w14:paraId="700FEE63" w14:textId="77777777" w:rsidR="00924B97" w:rsidRDefault="00000000">
      <w:pPr>
        <w:pStyle w:val="ListParagraph"/>
        <w:numPr>
          <w:ilvl w:val="0"/>
          <w:numId w:val="1"/>
        </w:numPr>
        <w:spacing w:after="90" w:line="270" w:lineRule="exact"/>
      </w:pPr>
      <w:r>
        <w:t>Contextually engineered AI coaches held to the MITI rubric used to certify human counselors.</w:t>
      </w:r>
    </w:p>
    <w:p w14:paraId="2E39481F" w14:textId="77777777" w:rsidR="00924B97" w:rsidRDefault="00000000">
      <w:pPr>
        <w:pStyle w:val="ListParagraph"/>
        <w:numPr>
          <w:ilvl w:val="0"/>
          <w:numId w:val="1"/>
        </w:numPr>
        <w:spacing w:after="90" w:line="270" w:lineRule="exact"/>
      </w:pPr>
      <w:r>
        <w:t>Deep-structure cultural tailoring as a first-class architectural layer — not translation or imagery.</w:t>
      </w:r>
    </w:p>
    <w:p w14:paraId="6690A659" w14:textId="77777777" w:rsidR="00924B97" w:rsidRDefault="00000000">
      <w:pPr>
        <w:pStyle w:val="ListParagraph"/>
        <w:numPr>
          <w:ilvl w:val="0"/>
          <w:numId w:val="1"/>
        </w:numPr>
        <w:spacing w:after="90" w:line="270" w:lineRule="exact"/>
      </w:pPr>
      <w:r>
        <w:t>Personalization that compounds across sessions through a persistent user model.</w:t>
      </w:r>
    </w:p>
    <w:p w14:paraId="564AA369" w14:textId="77777777" w:rsidR="00924B97" w:rsidRDefault="00000000">
      <w:pPr>
        <w:pStyle w:val="ListParagraph"/>
        <w:numPr>
          <w:ilvl w:val="0"/>
          <w:numId w:val="1"/>
        </w:numPr>
        <w:spacing w:after="90" w:line="270" w:lineRule="exact"/>
      </w:pPr>
      <w:r>
        <w:t>Measurement infrastructure linking conversational quality (MITI-style), longitudinal personalization, and outcome metrics — audited by subgroup.</w:t>
      </w:r>
    </w:p>
    <w:p w14:paraId="086BCF63" w14:textId="77777777" w:rsidR="00924B97" w:rsidRDefault="00000000">
      <w:pPr>
        <w:pStyle w:val="ListParagraph"/>
        <w:numPr>
          <w:ilvl w:val="0"/>
          <w:numId w:val="1"/>
        </w:numPr>
        <w:spacing w:after="90" w:line="270" w:lineRule="exact"/>
      </w:pPr>
      <w:r>
        <w:t>Clinical and ethical governance built into the product team from day one, not as a compliance afterthought.</w:t>
      </w:r>
    </w:p>
    <w:p w14:paraId="2AFFAD15" w14:textId="77777777" w:rsidR="00924B97" w:rsidRDefault="00000000">
      <w:pPr>
        <w:pStyle w:val="Heading2"/>
      </w:pPr>
      <w:r>
        <w:t>What Makes Us Different</w:t>
      </w:r>
    </w:p>
    <w:p w14:paraId="2D9FC73C" w14:textId="77777777" w:rsidR="00924B97" w:rsidRDefault="00000000">
      <w:pPr>
        <w:pStyle w:val="ListParagraph"/>
        <w:numPr>
          <w:ilvl w:val="0"/>
          <w:numId w:val="1"/>
        </w:numPr>
        <w:spacing w:after="90" w:line="270" w:lineRule="exact"/>
      </w:pPr>
      <w:r>
        <w:rPr>
          <w:b/>
          <w:bCs/>
          <w:color w:val="283038"/>
        </w:rPr>
        <w:t xml:space="preserve">Architecture, not adjectives. </w:t>
      </w:r>
      <w:r>
        <w:t>Most “MI chatbots” in the market are general-purpose LLMs with an MI-flavored prompt. Our coaches are built on an explicit four-layer architecture, evaluated against the published MITI rubric, and overseen by the scientist who helped write the medical literature on MI.</w:t>
      </w:r>
    </w:p>
    <w:p w14:paraId="65AB2302" w14:textId="77777777" w:rsidR="00924B97" w:rsidRDefault="00000000">
      <w:pPr>
        <w:pStyle w:val="ListParagraph"/>
        <w:numPr>
          <w:ilvl w:val="0"/>
          <w:numId w:val="1"/>
        </w:numPr>
        <w:spacing w:after="90" w:line="270" w:lineRule="exact"/>
      </w:pPr>
      <w:r>
        <w:rPr>
          <w:b/>
          <w:bCs/>
          <w:color w:val="283038"/>
        </w:rPr>
        <w:t xml:space="preserve">Cultural tailoring built in, not bolted on. </w:t>
      </w:r>
      <w:r>
        <w:t>Deep-structure cultural models live alongside the MI behavioral model in our context-engineering layer.</w:t>
      </w:r>
    </w:p>
    <w:p w14:paraId="716AF83D" w14:textId="77777777" w:rsidR="00924B97" w:rsidRDefault="00000000">
      <w:pPr>
        <w:pStyle w:val="ListParagraph"/>
        <w:numPr>
          <w:ilvl w:val="0"/>
          <w:numId w:val="1"/>
        </w:numPr>
        <w:spacing w:after="90" w:line="270" w:lineRule="exact"/>
      </w:pPr>
      <w:r>
        <w:rPr>
          <w:b/>
          <w:bCs/>
          <w:color w:val="283038"/>
        </w:rPr>
        <w:t xml:space="preserve">Personalization that strengthens with time. </w:t>
      </w:r>
      <w:r>
        <w:t xml:space="preserve">Generic chatbots decay; </w:t>
      </w:r>
      <w:proofErr w:type="gramStart"/>
      <w:r>
        <w:t>ours</w:t>
      </w:r>
      <w:proofErr w:type="gramEnd"/>
      <w:r>
        <w:t xml:space="preserve"> compound.</w:t>
      </w:r>
    </w:p>
    <w:p w14:paraId="2FC2274F" w14:textId="77777777" w:rsidR="00924B97" w:rsidRDefault="00000000">
      <w:pPr>
        <w:pStyle w:val="ListParagraph"/>
        <w:numPr>
          <w:ilvl w:val="0"/>
          <w:numId w:val="1"/>
        </w:numPr>
        <w:spacing w:after="90" w:line="270" w:lineRule="exact"/>
      </w:pPr>
      <w:r>
        <w:rPr>
          <w:b/>
          <w:bCs/>
          <w:color w:val="283038"/>
        </w:rPr>
        <w:t xml:space="preserve">Cross-domain breadth on a shared engine. </w:t>
      </w:r>
      <w:r>
        <w:t>The same engine powers sales, support, adherence, mental health, and chronic-care deployments.</w:t>
      </w:r>
    </w:p>
    <w:p w14:paraId="466AD1CC" w14:textId="77777777" w:rsidR="00924B97" w:rsidRDefault="00000000">
      <w:pPr>
        <w:pStyle w:val="ListParagraph"/>
        <w:numPr>
          <w:ilvl w:val="0"/>
          <w:numId w:val="1"/>
        </w:numPr>
        <w:spacing w:after="90" w:line="270" w:lineRule="exact"/>
      </w:pPr>
      <w:r>
        <w:rPr>
          <w:b/>
          <w:bCs/>
          <w:color w:val="283038"/>
        </w:rPr>
        <w:t xml:space="preserve">Outcome accountability </w:t>
      </w:r>
      <w:r>
        <w:t>stratified by subgroup, not only in aggregate.</w:t>
      </w:r>
    </w:p>
    <w:p w14:paraId="0AFF5F9F" w14:textId="77777777" w:rsidR="00924B97" w:rsidRDefault="00924B97">
      <w:pPr>
        <w:spacing w:after="120"/>
      </w:pPr>
    </w:p>
    <w:tbl>
      <w:tblPr>
        <w:tblW w:w="9360" w:type="dxa"/>
        <w:tblLayout w:type="fixed"/>
        <w:tblCellMar>
          <w:top w:w="140" w:type="dxa"/>
          <w:left w:w="220" w:type="dxa"/>
          <w:bottom w:w="140" w:type="dxa"/>
          <w:right w:w="200" w:type="dxa"/>
        </w:tblCellMar>
        <w:tblLook w:val="04A0" w:firstRow="1" w:lastRow="0" w:firstColumn="1" w:lastColumn="0" w:noHBand="0" w:noVBand="1"/>
      </w:tblPr>
      <w:tblGrid>
        <w:gridCol w:w="9360"/>
      </w:tblGrid>
      <w:tr w:rsidR="00924B97" w14:paraId="6FC49AEF" w14:textId="77777777">
        <w:tc>
          <w:tcPr>
            <w:tcW w:w="9360" w:type="dxa"/>
            <w:tcBorders>
              <w:top w:val="single" w:sz="2" w:space="0" w:color="FBEAE0"/>
              <w:left w:val="single" w:sz="28" w:space="0" w:color="F07840"/>
              <w:bottom w:val="single" w:sz="2" w:space="0" w:color="FBEAE0"/>
              <w:right w:val="single" w:sz="2" w:space="0" w:color="FBEAE0"/>
            </w:tcBorders>
            <w:shd w:val="clear" w:color="auto" w:fill="FBEAE0"/>
          </w:tcPr>
          <w:p w14:paraId="02040871" w14:textId="77777777" w:rsidR="00924B97" w:rsidRDefault="00000000">
            <w:r>
              <w:t xml:space="preserve">To learn more or discuss a deployment, contact us at </w:t>
            </w:r>
            <w:r>
              <w:rPr>
                <w:b/>
                <w:bCs/>
                <w:color w:val="F07840"/>
              </w:rPr>
              <w:t>chronilogix.com</w:t>
            </w:r>
            <w:r>
              <w:t>.</w:t>
            </w:r>
          </w:p>
        </w:tc>
      </w:tr>
    </w:tbl>
    <w:p w14:paraId="6478B265" w14:textId="77777777" w:rsidR="00924B97" w:rsidRDefault="00000000">
      <w:r>
        <w:br w:type="page"/>
      </w:r>
    </w:p>
    <w:p w14:paraId="0560A8EF" w14:textId="77777777" w:rsidR="00924B97" w:rsidRDefault="00000000">
      <w:pPr>
        <w:pBdr>
          <w:bottom w:val="single" w:sz="14" w:space="6" w:color="F07840"/>
        </w:pBdr>
        <w:spacing w:after="140"/>
      </w:pPr>
      <w:r>
        <w:rPr>
          <w:rFonts w:ascii="Georgia" w:eastAsia="Georgia" w:hAnsi="Georgia" w:cs="Georgia"/>
          <w:b/>
          <w:bCs/>
          <w:color w:val="283038"/>
          <w:sz w:val="30"/>
          <w:szCs w:val="30"/>
        </w:rPr>
        <w:t>References</w:t>
      </w:r>
    </w:p>
    <w:p w14:paraId="683D7CF0" w14:textId="77777777" w:rsidR="00924B97" w:rsidRDefault="00000000">
      <w:pPr>
        <w:spacing w:after="120" w:line="264" w:lineRule="exact"/>
        <w:ind w:left="360" w:hanging="360"/>
      </w:pPr>
      <w:r>
        <w:rPr>
          <w:sz w:val="19"/>
          <w:szCs w:val="19"/>
        </w:rPr>
        <w:t>Miller, W. R., &amp; Rollnick, S. (2023). Motivational Interviewing: Helping People Change and Grow (4th ed.). Guilford Press.</w:t>
      </w:r>
    </w:p>
    <w:p w14:paraId="19EEF229" w14:textId="77777777" w:rsidR="00924B97" w:rsidRDefault="00000000">
      <w:pPr>
        <w:spacing w:after="120" w:line="264" w:lineRule="exact"/>
        <w:ind w:left="360" w:hanging="360"/>
      </w:pPr>
      <w:r>
        <w:rPr>
          <w:sz w:val="19"/>
          <w:szCs w:val="19"/>
        </w:rPr>
        <w:t>Moyers, T. B., Rowell, L. N., Manuel, J. K., Ernst, D., &amp; Houck, J. M. (2016). The Motivational Interviewing Treatment Integrity Code (MITI 4.2). Journal of Substance Abuse Treatment, 65, 36–42.</w:t>
      </w:r>
    </w:p>
    <w:p w14:paraId="7ECCC2BE" w14:textId="77777777" w:rsidR="00924B97" w:rsidRDefault="00000000">
      <w:pPr>
        <w:spacing w:after="120" w:line="264" w:lineRule="exact"/>
        <w:ind w:left="360" w:hanging="360"/>
      </w:pPr>
      <w:proofErr w:type="spellStart"/>
      <w:r>
        <w:rPr>
          <w:sz w:val="19"/>
          <w:szCs w:val="19"/>
        </w:rPr>
        <w:t>Resnicow</w:t>
      </w:r>
      <w:proofErr w:type="spellEnd"/>
      <w:r>
        <w:rPr>
          <w:sz w:val="19"/>
          <w:szCs w:val="19"/>
        </w:rPr>
        <w:t>, K., Soler, R., Braithwaite, R. L., Ahluwalia, J. S., &amp; Butler, J. (2000). Cultural Sensitivity in Substance Use Prevention. Journal of Community Psychology, 28(3), 271–290.</w:t>
      </w:r>
    </w:p>
    <w:p w14:paraId="1057E78A" w14:textId="77777777" w:rsidR="00924B97" w:rsidRDefault="00000000">
      <w:pPr>
        <w:spacing w:after="120" w:line="264" w:lineRule="exact"/>
        <w:ind w:left="360" w:hanging="360"/>
      </w:pPr>
      <w:proofErr w:type="spellStart"/>
      <w:r>
        <w:rPr>
          <w:sz w:val="19"/>
          <w:szCs w:val="19"/>
        </w:rPr>
        <w:t>Resnicow</w:t>
      </w:r>
      <w:proofErr w:type="spellEnd"/>
      <w:r>
        <w:rPr>
          <w:sz w:val="19"/>
          <w:szCs w:val="19"/>
        </w:rPr>
        <w:t>, K., Baranowski, T., Ahluwalia, J. S., &amp; Braithwaite, R. L. (1999). Cultural Sensitivity in Public Health: Defined and Demystified. Ethnicity &amp; Disease, 9(1), 10–21.</w:t>
      </w:r>
    </w:p>
    <w:p w14:paraId="175A5DFF" w14:textId="77777777" w:rsidR="00924B97" w:rsidRDefault="00000000">
      <w:pPr>
        <w:spacing w:after="120" w:line="264" w:lineRule="exact"/>
        <w:ind w:left="360" w:hanging="360"/>
      </w:pPr>
      <w:proofErr w:type="spellStart"/>
      <w:r>
        <w:rPr>
          <w:sz w:val="19"/>
          <w:szCs w:val="19"/>
        </w:rPr>
        <w:t>Resnicow</w:t>
      </w:r>
      <w:proofErr w:type="spellEnd"/>
      <w:r>
        <w:rPr>
          <w:sz w:val="19"/>
          <w:szCs w:val="19"/>
        </w:rPr>
        <w:t>, K., &amp; McMaster, F. (2012). Motivational Interviewing: Moving from Why to How with Autonomy Support. International Journal of Behavioral Nutrition and Physical Activity, 9, 19.</w:t>
      </w:r>
    </w:p>
    <w:p w14:paraId="00D4B058" w14:textId="77777777" w:rsidR="00924B97" w:rsidRDefault="00000000">
      <w:pPr>
        <w:spacing w:after="120" w:line="264" w:lineRule="exact"/>
        <w:ind w:left="360" w:hanging="360"/>
      </w:pPr>
      <w:proofErr w:type="spellStart"/>
      <w:r>
        <w:rPr>
          <w:sz w:val="19"/>
          <w:szCs w:val="19"/>
        </w:rPr>
        <w:t>Resnicow</w:t>
      </w:r>
      <w:proofErr w:type="spellEnd"/>
      <w:r>
        <w:rPr>
          <w:sz w:val="19"/>
          <w:szCs w:val="19"/>
        </w:rPr>
        <w:t>, K., Jackson, A., Wang, T., et al. (2001). A Motivational Interviewing Intervention to Increase Fruit and Vegetable Intake Through Black Churches. American Journal of Public Health, 91(10), 1686–1693.</w:t>
      </w:r>
    </w:p>
    <w:p w14:paraId="7A7DD5FD" w14:textId="77777777" w:rsidR="00924B97" w:rsidRDefault="00000000">
      <w:pPr>
        <w:spacing w:after="120" w:line="264" w:lineRule="exact"/>
        <w:ind w:left="360" w:hanging="360"/>
      </w:pPr>
      <w:proofErr w:type="spellStart"/>
      <w:r>
        <w:rPr>
          <w:sz w:val="19"/>
          <w:szCs w:val="19"/>
        </w:rPr>
        <w:t>Resnicow</w:t>
      </w:r>
      <w:proofErr w:type="spellEnd"/>
      <w:r>
        <w:rPr>
          <w:sz w:val="19"/>
          <w:szCs w:val="19"/>
        </w:rPr>
        <w:t>, K., McMaster, F., Bocian, A., et al. (2015). Motivational Interviewing and Dietary Counseling for Obesity in Primary Care: An RCT. Pediatrics, 135(4), 649–657.</w:t>
      </w:r>
    </w:p>
    <w:p w14:paraId="488749B1" w14:textId="77777777" w:rsidR="00924B97" w:rsidRDefault="00000000">
      <w:pPr>
        <w:spacing w:after="120" w:line="264" w:lineRule="exact"/>
        <w:ind w:left="360" w:hanging="360"/>
      </w:pPr>
      <w:r>
        <w:rPr>
          <w:sz w:val="19"/>
          <w:szCs w:val="19"/>
        </w:rPr>
        <w:t xml:space="preserve">Lundahl, B., </w:t>
      </w:r>
      <w:proofErr w:type="spellStart"/>
      <w:r>
        <w:rPr>
          <w:sz w:val="19"/>
          <w:szCs w:val="19"/>
        </w:rPr>
        <w:t>Moleni</w:t>
      </w:r>
      <w:proofErr w:type="spellEnd"/>
      <w:r>
        <w:rPr>
          <w:sz w:val="19"/>
          <w:szCs w:val="19"/>
        </w:rPr>
        <w:t>, T., Burke, B. L., et al. (2013). Motivational Interviewing in Medical Care Settings: A Systematic Review and Meta-Analysis. Patient Education and Counseling, 93(2), 157–168.</w:t>
      </w:r>
    </w:p>
    <w:p w14:paraId="0922D735" w14:textId="77777777" w:rsidR="00924B97" w:rsidRDefault="00000000">
      <w:pPr>
        <w:spacing w:after="120" w:line="264" w:lineRule="exact"/>
        <w:ind w:left="360" w:hanging="360"/>
      </w:pPr>
      <w:r>
        <w:rPr>
          <w:sz w:val="19"/>
          <w:szCs w:val="19"/>
        </w:rPr>
        <w:t>Lundahl, B. W., Kunz, C., Brownell, C., Tollefson, D., &amp; Burke, B. L. (2010). A Meta-Analysis of Motivational Interviewing: Twenty-Five Years of Empirical Studies. Research on Social Work Practice, 20(2), 137–160.</w:t>
      </w:r>
    </w:p>
    <w:p w14:paraId="18A6BFCF" w14:textId="77777777" w:rsidR="00924B97" w:rsidRDefault="00000000">
      <w:pPr>
        <w:spacing w:after="120" w:line="264" w:lineRule="exact"/>
        <w:ind w:left="360" w:hanging="360"/>
      </w:pPr>
      <w:r>
        <w:rPr>
          <w:sz w:val="19"/>
          <w:szCs w:val="19"/>
        </w:rPr>
        <w:t>Palacio, A., Garay, D., Langer, B., et al. (2016). Motivational Interviewing Improves Medication Adherence: A Systematic Review and Meta-Analysis. Journal of General Internal Medicine, 31(8), 929–940.</w:t>
      </w:r>
    </w:p>
    <w:p w14:paraId="50191A7A" w14:textId="77777777" w:rsidR="00924B97" w:rsidRDefault="00000000">
      <w:pPr>
        <w:spacing w:after="120" w:line="264" w:lineRule="exact"/>
        <w:ind w:left="360" w:hanging="360"/>
      </w:pPr>
      <w:r>
        <w:rPr>
          <w:sz w:val="19"/>
          <w:szCs w:val="19"/>
        </w:rPr>
        <w:t>Magill, M., Apodaca, T. R., Borsari, B., et al. (2018). A Meta-Analysis of Motivational Interviewing Process. Journal of Consulting and Clinical Psychology, 86(2), 140–157.</w:t>
      </w:r>
    </w:p>
    <w:p w14:paraId="6E198F96" w14:textId="77777777" w:rsidR="00924B97" w:rsidRDefault="00000000">
      <w:pPr>
        <w:spacing w:after="120" w:line="264" w:lineRule="exact"/>
        <w:ind w:left="360" w:hanging="360"/>
      </w:pPr>
      <w:r>
        <w:rPr>
          <w:sz w:val="19"/>
          <w:szCs w:val="19"/>
        </w:rPr>
        <w:t xml:space="preserve">Ekong, G., &amp; </w:t>
      </w:r>
      <w:proofErr w:type="spellStart"/>
      <w:r>
        <w:rPr>
          <w:sz w:val="19"/>
          <w:szCs w:val="19"/>
        </w:rPr>
        <w:t>Kavookjian</w:t>
      </w:r>
      <w:proofErr w:type="spellEnd"/>
      <w:r>
        <w:rPr>
          <w:sz w:val="19"/>
          <w:szCs w:val="19"/>
        </w:rPr>
        <w:t>, J. (2016). Motivational Interviewing and Outcomes in Adults with Type 2 Diabetes: A Systematic Review. Patient Education and Counseling, 99(6), 944–952.</w:t>
      </w:r>
    </w:p>
    <w:p w14:paraId="65A66274" w14:textId="77777777" w:rsidR="00924B97" w:rsidRDefault="00000000">
      <w:pPr>
        <w:spacing w:after="120" w:line="264" w:lineRule="exact"/>
        <w:ind w:left="360" w:hanging="360"/>
      </w:pPr>
      <w:r>
        <w:rPr>
          <w:sz w:val="19"/>
          <w:szCs w:val="19"/>
        </w:rPr>
        <w:t>Armstrong, M. J., Mottershead, T. A., Ronksley, P. E., et al. (2011). Motivational Interviewing to Improve Weight Loss in Overweight and/or Obese Patients: A Systematic Review and Meta-Analysis. Obesity Reviews, 12(9), 709–723.</w:t>
      </w:r>
    </w:p>
    <w:p w14:paraId="3B1BEACF" w14:textId="77777777" w:rsidR="00924B97" w:rsidRDefault="00000000">
      <w:pPr>
        <w:spacing w:after="120" w:line="264" w:lineRule="exact"/>
        <w:ind w:left="360" w:hanging="360"/>
      </w:pPr>
      <w:r>
        <w:rPr>
          <w:sz w:val="19"/>
          <w:szCs w:val="19"/>
        </w:rPr>
        <w:t>World Health Organization. (2003). Adherence to Long-Term Therapies: Evidence for Action. Geneva: WHO.</w:t>
      </w:r>
    </w:p>
    <w:p w14:paraId="390BEBE7" w14:textId="77777777" w:rsidR="00924B97" w:rsidRDefault="00000000">
      <w:pPr>
        <w:spacing w:after="120" w:line="264" w:lineRule="exact"/>
        <w:ind w:left="360" w:hanging="360"/>
      </w:pPr>
      <w:r>
        <w:rPr>
          <w:sz w:val="19"/>
          <w:szCs w:val="19"/>
        </w:rPr>
        <w:t>Deci, E. L., &amp; Ryan, R. M. (2000). The “What” and “Why” of Goal Pursuits: Human Needs and the Self-Determination of Behavior. Psychological Inquiry, 11(4), 227–268.</w:t>
      </w:r>
    </w:p>
    <w:p w14:paraId="1965DB8E" w14:textId="77777777" w:rsidR="00924B97" w:rsidRDefault="00000000">
      <w:pPr>
        <w:spacing w:after="120" w:line="264" w:lineRule="exact"/>
        <w:ind w:left="360" w:hanging="360"/>
      </w:pPr>
      <w:r>
        <w:rPr>
          <w:sz w:val="19"/>
          <w:szCs w:val="19"/>
        </w:rPr>
        <w:t>Federal Trade Commission. (2022). Bringing Dark Patterns to Light: Staff Report. Washington, DC: FTC.</w:t>
      </w:r>
    </w:p>
    <w:sectPr w:rsidR="00924B97">
      <w:headerReference w:type="default" r:id="rId14"/>
      <w:footerReference w:type="default" r:id="rId15"/>
      <w:headerReference w:type="first" r:id="rId16"/>
      <w:footerReference w:type="first" r:id="rId17"/>
      <w:pgSz w:w="12240" w:h="15840"/>
      <w:pgMar w:top="1440" w:right="1440" w:bottom="1440" w:left="1440" w:header="708" w:footer="708" w:gutter="0"/>
      <w:cols w:space="720"/>
      <w:formProt w:val="0"/>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508BD" w14:textId="77777777" w:rsidR="004439B7" w:rsidRDefault="004439B7">
      <w:r>
        <w:separator/>
      </w:r>
    </w:p>
  </w:endnote>
  <w:endnote w:type="continuationSeparator" w:id="0">
    <w:p w14:paraId="77CC6DBE" w14:textId="77777777" w:rsidR="004439B7" w:rsidRDefault="00443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Arial Unicode MS"/>
    <w:panose1 w:val="020B0604020202020204"/>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6DA" w14:textId="77777777" w:rsidR="00924B97" w:rsidRDefault="00924B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2A7A" w14:textId="77777777" w:rsidR="00924B97" w:rsidRDefault="00924B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88AE" w14:textId="77777777" w:rsidR="00924B97" w:rsidRDefault="00924B9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2C65" w14:textId="77777777" w:rsidR="00924B97" w:rsidRDefault="00000000">
    <w:pPr>
      <w:pBdr>
        <w:top w:val="single" w:sz="4" w:space="4" w:color="DFDCD7"/>
      </w:pBdr>
      <w:tabs>
        <w:tab w:val="right" w:pos="9360"/>
      </w:tabs>
    </w:pPr>
    <w:r>
      <w:rPr>
        <w:color w:val="6A7178"/>
        <w:sz w:val="15"/>
        <w:szCs w:val="15"/>
      </w:rPr>
      <w:t>© Chronilogix · By Ai Health Coaching</w:t>
    </w:r>
    <w:r>
      <w:rPr>
        <w:sz w:val="15"/>
        <w:szCs w:val="15"/>
      </w:rPr>
      <w:tab/>
    </w:r>
    <w:r>
      <w:fldChar w:fldCharType="begin"/>
    </w:r>
    <w:r>
      <w:instrText xml:space="preserve"> PAGE </w:instrText>
    </w:r>
    <w:r>
      <w:fldChar w:fldCharType="separate"/>
    </w:r>
    <w:r>
      <w:t>18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6B9DA" w14:textId="77777777" w:rsidR="00924B97" w:rsidRDefault="00924B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9957" w14:textId="77777777" w:rsidR="004439B7" w:rsidRDefault="004439B7">
      <w:r>
        <w:separator/>
      </w:r>
    </w:p>
  </w:footnote>
  <w:footnote w:type="continuationSeparator" w:id="0">
    <w:p w14:paraId="69DD1468" w14:textId="77777777" w:rsidR="004439B7" w:rsidRDefault="00443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C729" w14:textId="77777777" w:rsidR="00924B97" w:rsidRDefault="00924B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27D0" w14:textId="77777777" w:rsidR="00924B97" w:rsidRDefault="00924B9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8191" w14:textId="77777777" w:rsidR="00924B97" w:rsidRDefault="00924B9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7A44D" w14:textId="77777777" w:rsidR="00924B97" w:rsidRDefault="00000000">
    <w:pPr>
      <w:pBdr>
        <w:bottom w:val="single" w:sz="4" w:space="4" w:color="DFDCD7"/>
      </w:pBdr>
      <w:tabs>
        <w:tab w:val="right" w:pos="9360"/>
      </w:tabs>
    </w:pPr>
    <w:r>
      <w:rPr>
        <w:b/>
        <w:bCs/>
        <w:color w:val="283038"/>
        <w:spacing w:val="40"/>
        <w:sz w:val="15"/>
        <w:szCs w:val="15"/>
      </w:rPr>
      <w:t>CHRONILOGIX</w:t>
    </w:r>
    <w:r>
      <w:rPr>
        <w:color w:val="6A7178"/>
        <w:sz w:val="15"/>
        <w:szCs w:val="15"/>
      </w:rPr>
      <w:tab/>
      <w:t>Motivational Interviewing in AI Coaches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8C766" w14:textId="77777777" w:rsidR="00924B97" w:rsidRDefault="00924B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45AC1"/>
    <w:multiLevelType w:val="multilevel"/>
    <w:tmpl w:val="C9B49F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52C77FC"/>
    <w:multiLevelType w:val="multilevel"/>
    <w:tmpl w:val="BCE2C604"/>
    <w:lvl w:ilvl="0">
      <w:start w:val="1"/>
      <w:numFmt w:val="bullet"/>
      <w:lvlText w:val="▪"/>
      <w:lvlJc w:val="left"/>
      <w:pPr>
        <w:tabs>
          <w:tab w:val="num" w:pos="0"/>
        </w:tabs>
        <w:ind w:left="432" w:hanging="240"/>
      </w:pPr>
      <w:rPr>
        <w:rFonts w:ascii="OpenSymbol" w:hAnsi="OpenSymbol" w:cs="OpenSymbol" w:hint="default"/>
        <w:color w:val="F0784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5291255">
    <w:abstractNumId w:val="1"/>
  </w:num>
  <w:num w:numId="2" w16cid:durableId="1670669251">
    <w:abstractNumId w:val="0"/>
  </w:num>
  <w:num w:numId="3" w16cid:durableId="14955634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97"/>
    <w:rsid w:val="004439B7"/>
    <w:rsid w:val="00924B97"/>
    <w:rsid w:val="00C92C09"/>
    <w:rsid w:val="00E46E1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FA89A67"/>
  <w15:docId w15:val="{83CA1281-8499-3247-8960-C0A4A61C4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3137"/>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140"/>
      <w:outlineLvl w:val="0"/>
    </w:pPr>
    <w:rPr>
      <w:rFonts w:ascii="Georgia" w:eastAsia="Georgia" w:hAnsi="Georgia" w:cs="Georgia"/>
      <w:b/>
      <w:bCs/>
      <w:color w:val="283038"/>
      <w:sz w:val="30"/>
      <w:szCs w:val="30"/>
    </w:rPr>
  </w:style>
  <w:style w:type="paragraph" w:styleId="Heading2">
    <w:name w:val="heading 2"/>
    <w:basedOn w:val="Heading"/>
    <w:uiPriority w:val="9"/>
    <w:unhideWhenUsed/>
    <w:qFormat/>
    <w:pPr>
      <w:spacing w:after="100"/>
      <w:outlineLvl w:val="1"/>
    </w:pPr>
    <w:rPr>
      <w:rFonts w:ascii="Georgia" w:eastAsia="Georgia" w:hAnsi="Georgia" w:cs="Georgia"/>
      <w:b/>
      <w:bCs/>
      <w:color w:val="283038"/>
      <w:sz w:val="23"/>
      <w:szCs w:val="23"/>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6895</Words>
  <Characters>38613</Characters>
  <Application>Microsoft Office Word</Application>
  <DocSecurity>0</DocSecurity>
  <Lines>585</Lines>
  <Paragraphs>223</Paragraphs>
  <ScaleCrop>false</ScaleCrop>
  <Company/>
  <LinksUpToDate>false</LinksUpToDate>
  <CharactersWithSpaces>45285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Steven Amiel</cp:lastModifiedBy>
  <cp:revision>2</cp:revision>
  <dcterms:created xsi:type="dcterms:W3CDTF">2026-06-02T19:45:00Z</dcterms:created>
  <dcterms:modified xsi:type="dcterms:W3CDTF">2026-06-02T19:45:00Z</dcterms:modified>
  <dc:language>en-US</dc:language>
</cp:coreProperties>
</file>