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GOV-POL-01</w:t>
      </w:r>
    </w:p>
    <w:p>
      <w:r>
        <w:rPr>
          <w:b/>
          <w:color w:val="0B2D4D"/>
          <w:sz w:val="44"/>
        </w:rPr>
        <w:t>Information security and privacy governance framework</w:t>
      </w:r>
    </w:p>
    <w:p>
      <w:r>
        <w:rPr>
          <w:i/>
          <w:color w:val="526478"/>
        </w:rPr>
        <w:t>How [Organisation] governs information security and privacy, naming the steering committee, the roles that carry the management system, who decides what, how results are reported, and how one control set serves several frameworks.</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GOV-POL-01</w:t>
            </w:r>
          </w:p>
        </w:tc>
      </w:tr>
      <w:tr>
        <w:tc>
          <w:tcPr>
            <w:tcW w:type="dxa" w:w="2551"/>
            <w:shd w:val="clear" w:color="auto" w:fill="EEF3F8"/>
          </w:tcPr>
          <w:p>
            <w:pPr>
              <w:spacing w:after="40"/>
            </w:pPr>
            <w:r>
              <w:rPr>
                <w:b/>
                <w:sz w:val="19"/>
              </w:rPr>
              <w:t>Title</w:t>
            </w:r>
          </w:p>
        </w:tc>
        <w:tc>
          <w:tcPr>
            <w:tcW w:type="dxa" w:w="6803"/>
          </w:tcPr>
          <w:p>
            <w:pPr>
              <w:spacing w:after="40"/>
            </w:pPr>
            <w:r>
              <w:rPr>
                <w:sz w:val="19"/>
              </w:rPr>
              <w:t>Information security and privacy governance framework</w:t>
            </w:r>
          </w:p>
        </w:tc>
      </w:tr>
      <w:tr>
        <w:tc>
          <w:tcPr>
            <w:tcW w:type="dxa" w:w="2551"/>
            <w:shd w:val="clear" w:color="auto" w:fill="EEF3F8"/>
          </w:tcPr>
          <w:p>
            <w:pPr>
              <w:spacing w:after="40"/>
            </w:pPr>
            <w:r>
              <w:rPr>
                <w:b/>
                <w:sz w:val="19"/>
              </w:rPr>
              <w:t>Type</w:t>
            </w:r>
          </w:p>
        </w:tc>
        <w:tc>
          <w:tcPr>
            <w:tcW w:type="dxa" w:w="6803"/>
          </w:tcPr>
          <w:p>
            <w:pPr>
              <w:spacing w:after="40"/>
            </w:pPr>
            <w:r>
              <w:rPr>
                <w:sz w:val="19"/>
              </w:rPr>
              <w:t>Policy</w:t>
            </w:r>
          </w:p>
        </w:tc>
      </w:tr>
      <w:tr>
        <w:tc>
          <w:tcPr>
            <w:tcW w:type="dxa" w:w="2551"/>
            <w:shd w:val="clear" w:color="auto" w:fill="EEF3F8"/>
          </w:tcPr>
          <w:p>
            <w:pPr>
              <w:spacing w:after="40"/>
            </w:pPr>
            <w:r>
              <w:rPr>
                <w:b/>
                <w:sz w:val="19"/>
              </w:rPr>
              <w:t>Framework</w:t>
            </w:r>
          </w:p>
        </w:tc>
        <w:tc>
          <w:tcPr>
            <w:tcW w:type="dxa" w:w="6803"/>
          </w:tcPr>
          <w:p>
            <w:pPr>
              <w:spacing w:after="40"/>
            </w:pPr>
            <w:r>
              <w:rPr>
                <w:sz w:val="19"/>
              </w:rPr>
              <w:t>Cross-framework</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27001:2022 clause 5.1; ISO/IEC 27001:2022 clause 5.3; ISO/IEC 27001:2022 clause 7.4; ISO/IEC 27701 clause 5.3; SOC 2 CC1.1; SOC 2 CC1.2; SOC 2 CC1.3; SOC 2 CC1.4; SOC 2 CC1.5; SOC 2 CC2.1</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policy sets out how [Organisation] directs and oversees information security and privacy: the committee, roles, decision rights and recurring mechanisms that keep the management system working between audits.</w:t>
      </w:r>
    </w:p>
    <w:p>
      <w:pPr>
        <w:pStyle w:val="Heading1"/>
      </w:pPr>
      <w:r>
        <w:t>2. Scope</w:t>
      </w:r>
    </w:p>
    <w:p>
      <w:r>
        <w:rPr>
          <w:b w:val="0"/>
          <w:i w:val="0"/>
        </w:rPr>
        <w:t>It applies to the management system defined in ISMS-STM-01, to every framework the organisation has adopted (ISO/IEC 27001, ISO/IEC 27701, SOC 2, GDPR and the AI governance documents in this kit), and to everyone holding a role named below, including contractors.</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Executive sponsor (the Chief Executive Officer or a named executive)</w:t>
            </w:r>
          </w:p>
        </w:tc>
        <w:tc>
          <w:tcPr>
            <w:tcW w:type="dxa" w:w="4873"/>
          </w:tcPr>
          <w:p>
            <w:pPr>
              <w:spacing w:after="40"/>
            </w:pPr>
            <w:r>
              <w:rPr>
                <w:b w:val="0"/>
                <w:i w:val="0"/>
                <w:sz w:val="19"/>
              </w:rPr>
              <w:t>Chairs the steering committee, signs GOV-POL-03 and GOV-STM-01, approves the risk appetite and the budget.</w:t>
            </w:r>
          </w:p>
        </w:tc>
      </w:tr>
      <w:tr>
        <w:tc>
          <w:tcPr>
            <w:tcW w:type="dxa" w:w="4873"/>
          </w:tcPr>
          <w:p>
            <w:pPr>
              <w:spacing w:after="40"/>
            </w:pPr>
            <w:r>
              <w:rPr>
                <w:b w:val="0"/>
                <w:i w:val="0"/>
                <w:sz w:val="19"/>
              </w:rPr>
              <w:t>Information Security Manager</w:t>
            </w:r>
          </w:p>
        </w:tc>
        <w:tc>
          <w:tcPr>
            <w:tcW w:type="dxa" w:w="4873"/>
          </w:tcPr>
          <w:p>
            <w:pPr>
              <w:spacing w:after="40"/>
            </w:pPr>
            <w:r>
              <w:rPr>
                <w:b w:val="0"/>
                <w:i w:val="0"/>
                <w:sz w:val="19"/>
              </w:rPr>
              <w:t>Runs the management system day to day: risk register, control set, audits, measures, management review.</w:t>
            </w:r>
          </w:p>
        </w:tc>
      </w:tr>
      <w:tr>
        <w:tc>
          <w:tcPr>
            <w:tcW w:type="dxa" w:w="4873"/>
          </w:tcPr>
          <w:p>
            <w:pPr>
              <w:spacing w:after="40"/>
            </w:pPr>
            <w:r>
              <w:rPr>
                <w:b w:val="0"/>
                <w:i w:val="0"/>
                <w:sz w:val="19"/>
              </w:rPr>
              <w:t>Privacy Officer</w:t>
            </w:r>
          </w:p>
        </w:tc>
        <w:tc>
          <w:tcPr>
            <w:tcW w:type="dxa" w:w="4873"/>
          </w:tcPr>
          <w:p>
            <w:pPr>
              <w:spacing w:after="40"/>
            </w:pPr>
            <w:r>
              <w:rPr>
                <w:b w:val="0"/>
                <w:i w:val="0"/>
                <w:sz w:val="19"/>
              </w:rPr>
              <w:t>Owns the privacy requirements, processing inventory and rights handling; contact point for supervisory authorities; independent of the teams assessed.</w:t>
            </w:r>
          </w:p>
        </w:tc>
      </w:tr>
      <w:tr>
        <w:tc>
          <w:tcPr>
            <w:tcW w:type="dxa" w:w="4873"/>
          </w:tcPr>
          <w:p>
            <w:pPr>
              <w:spacing w:after="40"/>
            </w:pPr>
            <w:r>
              <w:rPr>
                <w:b w:val="0"/>
                <w:i w:val="0"/>
                <w:sz w:val="19"/>
              </w:rPr>
              <w:t>Asset owners and risk owners</w:t>
            </w:r>
          </w:p>
        </w:tc>
        <w:tc>
          <w:tcPr>
            <w:tcW w:type="dxa" w:w="4873"/>
          </w:tcPr>
          <w:p>
            <w:pPr>
              <w:spacing w:after="40"/>
            </w:pPr>
            <w:r>
              <w:rPr>
                <w:b w:val="0"/>
                <w:i w:val="0"/>
                <w:sz w:val="19"/>
              </w:rPr>
              <w:t>Protect their assets, own the related risks in GOV-REG-05, decide treatment within their authority, provide evidence.</w:t>
            </w:r>
          </w:p>
        </w:tc>
      </w:tr>
      <w:tr>
        <w:tc>
          <w:tcPr>
            <w:tcW w:type="dxa" w:w="4873"/>
          </w:tcPr>
          <w:p>
            <w:pPr>
              <w:spacing w:after="40"/>
            </w:pPr>
            <w:r>
              <w:rPr>
                <w:b w:val="0"/>
                <w:i w:val="0"/>
                <w:sz w:val="19"/>
              </w:rPr>
              <w:t>Internal Auditor</w:t>
            </w:r>
          </w:p>
        </w:tc>
        <w:tc>
          <w:tcPr>
            <w:tcW w:type="dxa" w:w="4873"/>
          </w:tcPr>
          <w:p>
            <w:pPr>
              <w:spacing w:after="40"/>
            </w:pPr>
            <w:r>
              <w:rPr>
                <w:b w:val="0"/>
                <w:i w:val="0"/>
                <w:sz w:val="19"/>
              </w:rPr>
              <w:t>Audits under GOV-PRO-02, reports to the executive sponsor, never audits their own work.</w:t>
            </w:r>
          </w:p>
        </w:tc>
      </w:tr>
      <w:tr>
        <w:tc>
          <w:tcPr>
            <w:tcW w:type="dxa" w:w="4873"/>
          </w:tcPr>
          <w:p>
            <w:pPr>
              <w:spacing w:after="40"/>
            </w:pPr>
            <w:r>
              <w:rPr>
                <w:b w:val="0"/>
                <w:i w:val="0"/>
                <w:sz w:val="19"/>
              </w:rPr>
              <w:t>All staff</w:t>
            </w:r>
          </w:p>
        </w:tc>
        <w:tc>
          <w:tcPr>
            <w:tcW w:type="dxa" w:w="4873"/>
          </w:tcPr>
          <w:p>
            <w:pPr>
              <w:spacing w:after="40"/>
            </w:pPr>
            <w:r>
              <w:rPr>
                <w:b w:val="0"/>
                <w:i w:val="0"/>
                <w:sz w:val="19"/>
              </w:rPr>
              <w:t>Follow the policies, complete training, report incidents and weaknesses, cooperate with audits.</w:t>
            </w:r>
          </w:p>
        </w:tc>
      </w:tr>
    </w:tbl>
    <w:p/>
    <w:p>
      <w:pPr>
        <w:pStyle w:val="Heading1"/>
      </w:pPr>
      <w:r>
        <w:t>4. Policy statements</w:t>
      </w:r>
    </w:p>
    <w:p>
      <w:r>
        <w:rPr>
          <w:b w:val="0"/>
          <w:i w:val="0"/>
        </w:rPr>
        <w:t xml:space="preserve">4.1 </w:t>
      </w:r>
      <w:r>
        <w:rPr>
          <w:b/>
        </w:rPr>
        <w:t>Steering committee.</w:t>
      </w:r>
      <w:r>
        <w:rPr>
          <w:b w:val="0"/>
          <w:i w:val="0"/>
        </w:rPr>
        <w:t xml:space="preserve"> The Information Security and Privacy Steering Committee governs the management system under a charter approved by the Chief Executive Officer. Standing members are the executive sponsor (chair), the Information Security Manager (secretary), the Privacy Officer, the Head of Engineering, the Head of Operations and a Human Resources representative.</w:t>
      </w:r>
    </w:p>
    <w:p>
      <w:r>
        <w:rPr>
          <w:b w:val="0"/>
          <w:i w:val="0"/>
        </w:rPr>
        <w:t xml:space="preserve">4.2 </w:t>
      </w:r>
      <w:r>
        <w:rPr>
          <w:b/>
        </w:rPr>
        <w:t>Cadence and quorum.</w:t>
      </w:r>
      <w:r>
        <w:rPr>
          <w:b w:val="0"/>
          <w:i w:val="0"/>
        </w:rPr>
        <w:t xml:space="preserve"> The committee meets at least quarterly. It is quorate when the chair or a deputy named in advance, the Information Security Manager and at least half of the remaining standing members attend. The chair decides after hearing the members; the secretary records the decisions. A decision taken without quorum is provisional until the chair confirms it in writing.</w:t>
      </w:r>
    </w:p>
    <w:p>
      <w:r>
        <w:rPr>
          <w:b w:val="0"/>
          <w:i w:val="0"/>
        </w:rPr>
        <w:t xml:space="preserve">4.3 </w:t>
      </w:r>
      <w:r>
        <w:rPr>
          <w:b/>
        </w:rPr>
        <w:t>Decision rights.</w:t>
      </w:r>
      <w:r>
        <w:rPr>
          <w:b w:val="0"/>
          <w:i w:val="0"/>
        </w:rPr>
        <w:t xml:space="preserve"> Each decision is held at the lowest level with the authority below; a decision made higher is recorded with the reason.</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Decision</w:t>
            </w:r>
          </w:p>
        </w:tc>
        <w:tc>
          <w:tcPr>
            <w:tcW w:type="dxa" w:w="4873"/>
            <w:shd w:val="clear" w:color="auto" w:fill="EEF3F8"/>
          </w:tcPr>
          <w:p>
            <w:pPr>
              <w:spacing w:after="40"/>
            </w:pPr>
            <w:r>
              <w:rPr>
                <w:b/>
                <w:i w:val="0"/>
                <w:sz w:val="19"/>
              </w:rPr>
              <w:t>Authority</w:t>
            </w:r>
          </w:p>
        </w:tc>
      </w:tr>
      <w:tr>
        <w:tc>
          <w:tcPr>
            <w:tcW w:type="dxa" w:w="4873"/>
          </w:tcPr>
          <w:p>
            <w:pPr>
              <w:spacing w:after="40"/>
            </w:pPr>
            <w:r>
              <w:rPr>
                <w:b w:val="0"/>
                <w:i w:val="0"/>
                <w:sz w:val="19"/>
              </w:rPr>
              <w:t>Approve GOV-POL-03, GOV-STM-01, the risk appetite and the scope statement</w:t>
            </w:r>
          </w:p>
        </w:tc>
        <w:tc>
          <w:tcPr>
            <w:tcW w:type="dxa" w:w="4873"/>
          </w:tcPr>
          <w:p>
            <w:pPr>
              <w:spacing w:after="40"/>
            </w:pPr>
            <w:r>
              <w:rPr>
                <w:b w:val="0"/>
                <w:i w:val="0"/>
                <w:sz w:val="19"/>
              </w:rPr>
              <w:t>Chief Executive Officer</w:t>
            </w:r>
          </w:p>
        </w:tc>
      </w:tr>
      <w:tr>
        <w:tc>
          <w:tcPr>
            <w:tcW w:type="dxa" w:w="4873"/>
          </w:tcPr>
          <w:p>
            <w:pPr>
              <w:spacing w:after="40"/>
            </w:pPr>
            <w:r>
              <w:rPr>
                <w:b w:val="0"/>
                <w:i w:val="0"/>
                <w:sz w:val="19"/>
              </w:rPr>
              <w:t>Approve topic policies and this framework</w:t>
            </w:r>
          </w:p>
        </w:tc>
        <w:tc>
          <w:tcPr>
            <w:tcW w:type="dxa" w:w="4873"/>
          </w:tcPr>
          <w:p>
            <w:pPr>
              <w:spacing w:after="40"/>
            </w:pPr>
            <w:r>
              <w:rPr>
                <w:b w:val="0"/>
                <w:i w:val="0"/>
                <w:sz w:val="19"/>
              </w:rPr>
              <w:t>Steering committee</w:t>
            </w:r>
          </w:p>
        </w:tc>
      </w:tr>
      <w:tr>
        <w:tc>
          <w:tcPr>
            <w:tcW w:type="dxa" w:w="4873"/>
          </w:tcPr>
          <w:p>
            <w:pPr>
              <w:spacing w:after="40"/>
            </w:pPr>
            <w:r>
              <w:rPr>
                <w:b w:val="0"/>
                <w:i w:val="0"/>
                <w:sz w:val="19"/>
              </w:rPr>
              <w:t>Approve procedures, templates and registers</w:t>
            </w:r>
          </w:p>
        </w:tc>
        <w:tc>
          <w:tcPr>
            <w:tcW w:type="dxa" w:w="4873"/>
          </w:tcPr>
          <w:p>
            <w:pPr>
              <w:spacing w:after="40"/>
            </w:pPr>
            <w:r>
              <w:rPr>
                <w:b w:val="0"/>
                <w:i w:val="0"/>
                <w:sz w:val="19"/>
              </w:rPr>
              <w:t>Information Security Manager, or the Privacy Officer for privacy documents</w:t>
            </w:r>
          </w:p>
        </w:tc>
      </w:tr>
      <w:tr>
        <w:tc>
          <w:tcPr>
            <w:tcW w:type="dxa" w:w="4873"/>
          </w:tcPr>
          <w:p>
            <w:pPr>
              <w:spacing w:after="40"/>
            </w:pPr>
            <w:r>
              <w:rPr>
                <w:b w:val="0"/>
                <w:i w:val="0"/>
                <w:sz w:val="19"/>
              </w:rPr>
              <w:t>Accept a risk or grant an exception</w:t>
            </w:r>
          </w:p>
        </w:tc>
        <w:tc>
          <w:tcPr>
            <w:tcW w:type="dxa" w:w="4873"/>
          </w:tcPr>
          <w:p>
            <w:pPr>
              <w:spacing w:after="40"/>
            </w:pPr>
            <w:r>
              <w:rPr>
                <w:b w:val="0"/>
                <w:i w:val="0"/>
                <w:sz w:val="19"/>
              </w:rPr>
              <w:t>The authority for the risk band in GOV-PRO-05 and GOV-PRO-24</w:t>
            </w:r>
          </w:p>
        </w:tc>
      </w:tr>
      <w:tr>
        <w:tc>
          <w:tcPr>
            <w:tcW w:type="dxa" w:w="4873"/>
          </w:tcPr>
          <w:p>
            <w:pPr>
              <w:spacing w:after="40"/>
            </w:pPr>
            <w:r>
              <w:rPr>
                <w:b w:val="0"/>
                <w:i w:val="0"/>
                <w:sz w:val="19"/>
              </w:rPr>
              <w:t>Declare a major incident and approve external communication about it</w:t>
            </w:r>
          </w:p>
        </w:tc>
        <w:tc>
          <w:tcPr>
            <w:tcW w:type="dxa" w:w="4873"/>
          </w:tcPr>
          <w:p>
            <w:pPr>
              <w:spacing w:after="40"/>
            </w:pPr>
            <w:r>
              <w:rPr>
                <w:b w:val="0"/>
                <w:i w:val="0"/>
                <w:sz w:val="19"/>
              </w:rPr>
              <w:t>Executive sponsor, advised by the incident lead</w:t>
            </w:r>
          </w:p>
        </w:tc>
      </w:tr>
      <w:tr>
        <w:tc>
          <w:tcPr>
            <w:tcW w:type="dxa" w:w="4873"/>
          </w:tcPr>
          <w:p>
            <w:pPr>
              <w:spacing w:after="40"/>
            </w:pPr>
            <w:r>
              <w:rPr>
                <w:b w:val="0"/>
                <w:i w:val="0"/>
                <w:sz w:val="19"/>
              </w:rPr>
              <w:t>Approve the internal audit plan and receive audit reports</w:t>
            </w:r>
          </w:p>
        </w:tc>
        <w:tc>
          <w:tcPr>
            <w:tcW w:type="dxa" w:w="4873"/>
          </w:tcPr>
          <w:p>
            <w:pPr>
              <w:spacing w:after="40"/>
            </w:pPr>
            <w:r>
              <w:rPr>
                <w:b w:val="0"/>
                <w:i w:val="0"/>
                <w:sz w:val="19"/>
              </w:rPr>
              <w:t>Executive sponsor</w:t>
            </w:r>
          </w:p>
        </w:tc>
      </w:tr>
    </w:tbl>
    <w:p/>
    <w:p>
      <w:r>
        <w:rPr>
          <w:b w:val="0"/>
          <w:i w:val="0"/>
        </w:rPr>
        <w:t xml:space="preserve">4.4 </w:t>
      </w:r>
      <w:r>
        <w:rPr>
          <w:b/>
        </w:rPr>
        <w:t>Reporting lines.</w:t>
      </w:r>
      <w:r>
        <w:rPr>
          <w:b w:val="0"/>
          <w:i w:val="0"/>
        </w:rPr>
        <w:t xml:space="preserve"> The Information Security Manager and the Privacy Officer report on management system matters directly to the executive sponsor, whatever their line management. The Internal Auditor reports to the executive sponsor and the committee, never to the manager of the area audited. The executive sponsor reports to the board or owners at least annually on posture, major risks and incidents.</w:t>
      </w:r>
    </w:p>
    <w:p>
      <w:r>
        <w:rPr>
          <w:b w:val="0"/>
          <w:i w:val="0"/>
        </w:rPr>
        <w:t xml:space="preserve">4.5 </w:t>
      </w:r>
      <w:r>
        <w:rPr>
          <w:b/>
        </w:rPr>
        <w:t>One control set, several frameworks.</w:t>
      </w:r>
      <w:r>
        <w:rPr>
          <w:b w:val="0"/>
          <w:i w:val="0"/>
        </w:rPr>
        <w:t xml:space="preserve"> The organisation operates a single set of controls, described in the kit documents and declared applicable in ISMS-REG-01. GOV-REG-27 tags each control with the ISO/IEC 27001, ISO/IEC 27701, SOC 2, GDPR and NIST CSF 2.0 references it serves, so evidence is collected once and reused. A requirement from one framework alone is still met through this control set, never a parallel process.</w:t>
      </w:r>
    </w:p>
    <w:p>
      <w:r>
        <w:rPr>
          <w:b w:val="0"/>
          <w:i w:val="0"/>
        </w:rPr>
        <w:t xml:space="preserve">4.6 </w:t>
      </w:r>
      <w:r>
        <w:rPr>
          <w:b/>
        </w:rPr>
        <w:t>Communication.</w:t>
      </w:r>
      <w:r>
        <w:rPr>
          <w:b w:val="0"/>
          <w:i w:val="0"/>
        </w:rPr>
        <w:t xml:space="preserve"> The secretary communicates committee decisions, policy changes and management review outcomes through the channels in ISMS-PLN-02 within ten working days.</w:t>
      </w:r>
    </w:p>
    <w:p>
      <w:r>
        <w:rPr>
          <w:b w:val="0"/>
          <w:i w:val="0"/>
        </w:rPr>
        <w:t xml:space="preserve">4.7 </w:t>
      </w:r>
      <w:r>
        <w:rPr>
          <w:b/>
        </w:rPr>
        <w:t>Governance mechanisms.</w:t>
      </w:r>
      <w:r>
        <w:rPr>
          <w:b w:val="0"/>
          <w:i w:val="0"/>
        </w:rPr>
        <w:t xml:space="preserve"> The mechanisms below are mandatory. Each produces a record the Internal Auditor can test.</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Mechanism</w:t>
            </w:r>
          </w:p>
        </w:tc>
        <w:tc>
          <w:tcPr>
            <w:tcW w:type="dxa" w:w="2436"/>
            <w:shd w:val="clear" w:color="auto" w:fill="EEF3F8"/>
          </w:tcPr>
          <w:p>
            <w:pPr>
              <w:spacing w:after="40"/>
            </w:pPr>
            <w:r>
              <w:rPr>
                <w:b/>
                <w:i w:val="0"/>
                <w:sz w:val="19"/>
              </w:rPr>
              <w:t>Frequency</w:t>
            </w:r>
          </w:p>
        </w:tc>
        <w:tc>
          <w:tcPr>
            <w:tcW w:type="dxa" w:w="2436"/>
            <w:shd w:val="clear" w:color="auto" w:fill="EEF3F8"/>
          </w:tcPr>
          <w:p>
            <w:pPr>
              <w:spacing w:after="40"/>
            </w:pPr>
            <w:r>
              <w:rPr>
                <w:b/>
                <w:i w:val="0"/>
                <w:sz w:val="19"/>
              </w:rPr>
              <w:t>Purpose</w:t>
            </w:r>
          </w:p>
        </w:tc>
        <w:tc>
          <w:tcPr>
            <w:tcW w:type="dxa" w:w="2436"/>
            <w:shd w:val="clear" w:color="auto" w:fill="EEF3F8"/>
          </w:tcPr>
          <w:p>
            <w:pPr>
              <w:spacing w:after="40"/>
            </w:pPr>
            <w:r>
              <w:rPr>
                <w:b/>
                <w:i w:val="0"/>
                <w:sz w:val="19"/>
              </w:rPr>
              <w:t>Owner</w:t>
            </w:r>
          </w:p>
        </w:tc>
      </w:tr>
      <w:tr>
        <w:tc>
          <w:tcPr>
            <w:tcW w:type="dxa" w:w="2436"/>
          </w:tcPr>
          <w:p>
            <w:pPr>
              <w:spacing w:after="40"/>
            </w:pPr>
            <w:r>
              <w:rPr>
                <w:b w:val="0"/>
                <w:i w:val="0"/>
                <w:sz w:val="19"/>
              </w:rPr>
              <w:t>Steering committee meeting</w:t>
            </w:r>
          </w:p>
        </w:tc>
        <w:tc>
          <w:tcPr>
            <w:tcW w:type="dxa" w:w="2436"/>
          </w:tcPr>
          <w:p>
            <w:pPr>
              <w:spacing w:after="40"/>
            </w:pPr>
            <w:r>
              <w:rPr>
                <w:b w:val="0"/>
                <w:i w:val="0"/>
                <w:sz w:val="19"/>
              </w:rPr>
              <w:t>Quarterly</w:t>
            </w:r>
          </w:p>
        </w:tc>
        <w:tc>
          <w:tcPr>
            <w:tcW w:type="dxa" w:w="2436"/>
          </w:tcPr>
          <w:p>
            <w:pPr>
              <w:spacing w:after="40"/>
            </w:pPr>
            <w:r>
              <w:rPr>
                <w:b w:val="0"/>
                <w:i w:val="0"/>
                <w:sz w:val="19"/>
              </w:rPr>
              <w:t>Direct the programme and decide priorities</w:t>
            </w:r>
          </w:p>
        </w:tc>
        <w:tc>
          <w:tcPr>
            <w:tcW w:type="dxa" w:w="2436"/>
          </w:tcPr>
          <w:p>
            <w:pPr>
              <w:spacing w:after="40"/>
            </w:pPr>
            <w:r>
              <w:rPr>
                <w:b w:val="0"/>
                <w:i w:val="0"/>
                <w:sz w:val="19"/>
              </w:rPr>
              <w:t>Executive sponsor</w:t>
            </w:r>
          </w:p>
        </w:tc>
      </w:tr>
      <w:tr>
        <w:tc>
          <w:tcPr>
            <w:tcW w:type="dxa" w:w="2436"/>
          </w:tcPr>
          <w:p>
            <w:pPr>
              <w:spacing w:after="40"/>
            </w:pPr>
            <w:r>
              <w:rPr>
                <w:b w:val="0"/>
                <w:i w:val="0"/>
                <w:sz w:val="19"/>
              </w:rPr>
              <w:t>Management review (GOV-PRO-03)</w:t>
            </w:r>
          </w:p>
        </w:tc>
        <w:tc>
          <w:tcPr>
            <w:tcW w:type="dxa" w:w="2436"/>
          </w:tcPr>
          <w:p>
            <w:pPr>
              <w:spacing w:after="40"/>
            </w:pPr>
            <w:r>
              <w:rPr>
                <w:b w:val="0"/>
                <w:i w:val="0"/>
                <w:sz w:val="19"/>
              </w:rPr>
              <w:t>At least annually</w:t>
            </w:r>
          </w:p>
        </w:tc>
        <w:tc>
          <w:tcPr>
            <w:tcW w:type="dxa" w:w="2436"/>
          </w:tcPr>
          <w:p>
            <w:pPr>
              <w:spacing w:after="40"/>
            </w:pPr>
            <w:r>
              <w:rPr>
                <w:b w:val="0"/>
                <w:i w:val="0"/>
                <w:sz w:val="19"/>
              </w:rPr>
              <w:t>Judge whether the system is suitable, adequate and effective</w:t>
            </w:r>
          </w:p>
        </w:tc>
        <w:tc>
          <w:tcPr>
            <w:tcW w:type="dxa" w:w="2436"/>
          </w:tcPr>
          <w:p>
            <w:pPr>
              <w:spacing w:after="40"/>
            </w:pPr>
            <w:r>
              <w:rPr>
                <w:b w:val="0"/>
                <w:i w:val="0"/>
                <w:sz w:val="19"/>
              </w:rPr>
              <w:t>Chief Executive Officer</w:t>
            </w:r>
          </w:p>
        </w:tc>
      </w:tr>
      <w:tr>
        <w:tc>
          <w:tcPr>
            <w:tcW w:type="dxa" w:w="2436"/>
          </w:tcPr>
          <w:p>
            <w:pPr>
              <w:spacing w:after="40"/>
            </w:pPr>
            <w:r>
              <w:rPr>
                <w:b w:val="0"/>
                <w:i w:val="0"/>
                <w:sz w:val="19"/>
              </w:rPr>
              <w:t>Internal audit (GOV-PRO-02)</w:t>
            </w:r>
          </w:p>
        </w:tc>
        <w:tc>
          <w:tcPr>
            <w:tcW w:type="dxa" w:w="2436"/>
          </w:tcPr>
          <w:p>
            <w:pPr>
              <w:spacing w:after="40"/>
            </w:pPr>
            <w:r>
              <w:rPr>
                <w:b w:val="0"/>
                <w:i w:val="0"/>
                <w:sz w:val="19"/>
              </w:rPr>
              <w:t>Per ISMS-PLN-03</w:t>
            </w:r>
          </w:p>
        </w:tc>
        <w:tc>
          <w:tcPr>
            <w:tcW w:type="dxa" w:w="2436"/>
          </w:tcPr>
          <w:p>
            <w:pPr>
              <w:spacing w:after="40"/>
            </w:pPr>
            <w:r>
              <w:rPr>
                <w:b w:val="0"/>
                <w:i w:val="0"/>
                <w:sz w:val="19"/>
              </w:rPr>
              <w:t>Independent evidence of conformity and effectiveness</w:t>
            </w:r>
          </w:p>
        </w:tc>
        <w:tc>
          <w:tcPr>
            <w:tcW w:type="dxa" w:w="2436"/>
          </w:tcPr>
          <w:p>
            <w:pPr>
              <w:spacing w:after="40"/>
            </w:pPr>
            <w:r>
              <w:rPr>
                <w:b w:val="0"/>
                <w:i w:val="0"/>
                <w:sz w:val="19"/>
              </w:rPr>
              <w:t>Internal Auditor</w:t>
            </w:r>
          </w:p>
        </w:tc>
      </w:tr>
      <w:tr>
        <w:tc>
          <w:tcPr>
            <w:tcW w:type="dxa" w:w="2436"/>
          </w:tcPr>
          <w:p>
            <w:pPr>
              <w:spacing w:after="40"/>
            </w:pPr>
            <w:r>
              <w:rPr>
                <w:b w:val="0"/>
                <w:i w:val="0"/>
                <w:sz w:val="19"/>
              </w:rPr>
              <w:t>Risk review (GOV-PRO-05)</w:t>
            </w:r>
          </w:p>
        </w:tc>
        <w:tc>
          <w:tcPr>
            <w:tcW w:type="dxa" w:w="2436"/>
          </w:tcPr>
          <w:p>
            <w:pPr>
              <w:spacing w:after="40"/>
            </w:pPr>
            <w:r>
              <w:rPr>
                <w:b w:val="0"/>
                <w:i w:val="0"/>
                <w:sz w:val="19"/>
              </w:rPr>
              <w:t>Quarterly and on trigger</w:t>
            </w:r>
          </w:p>
        </w:tc>
        <w:tc>
          <w:tcPr>
            <w:tcW w:type="dxa" w:w="2436"/>
          </w:tcPr>
          <w:p>
            <w:pPr>
              <w:spacing w:after="40"/>
            </w:pPr>
            <w:r>
              <w:rPr>
                <w:b w:val="0"/>
                <w:i w:val="0"/>
                <w:sz w:val="19"/>
              </w:rPr>
              <w:t>Keep GOV-REG-05 current and treatment on track</w:t>
            </w:r>
          </w:p>
        </w:tc>
        <w:tc>
          <w:tcPr>
            <w:tcW w:type="dxa" w:w="2436"/>
          </w:tcPr>
          <w:p>
            <w:pPr>
              <w:spacing w:after="40"/>
            </w:pPr>
            <w:r>
              <w:rPr>
                <w:b w:val="0"/>
                <w:i w:val="0"/>
                <w:sz w:val="19"/>
              </w:rPr>
              <w:t>Information Security Manager</w:t>
            </w:r>
          </w:p>
        </w:tc>
      </w:tr>
      <w:tr>
        <w:tc>
          <w:tcPr>
            <w:tcW w:type="dxa" w:w="2436"/>
          </w:tcPr>
          <w:p>
            <w:pPr>
              <w:spacing w:after="40"/>
            </w:pPr>
            <w:r>
              <w:rPr>
                <w:b w:val="0"/>
                <w:i w:val="0"/>
                <w:sz w:val="19"/>
              </w:rPr>
              <w:t>Objectives and measures report (GOV-REG-21)</w:t>
            </w:r>
          </w:p>
        </w:tc>
        <w:tc>
          <w:tcPr>
            <w:tcW w:type="dxa" w:w="2436"/>
          </w:tcPr>
          <w:p>
            <w:pPr>
              <w:spacing w:after="40"/>
            </w:pPr>
            <w:r>
              <w:rPr>
                <w:b w:val="0"/>
                <w:i w:val="0"/>
                <w:sz w:val="19"/>
              </w:rPr>
              <w:t>Quarterly</w:t>
            </w:r>
          </w:p>
        </w:tc>
        <w:tc>
          <w:tcPr>
            <w:tcW w:type="dxa" w:w="2436"/>
          </w:tcPr>
          <w:p>
            <w:pPr>
              <w:spacing w:after="40"/>
            </w:pPr>
            <w:r>
              <w:rPr>
                <w:b w:val="0"/>
                <w:i w:val="0"/>
                <w:sz w:val="19"/>
              </w:rPr>
              <w:t>Show progress on objectives</w:t>
            </w:r>
          </w:p>
        </w:tc>
        <w:tc>
          <w:tcPr>
            <w:tcW w:type="dxa" w:w="2436"/>
          </w:tcPr>
          <w:p>
            <w:pPr>
              <w:spacing w:after="40"/>
            </w:pPr>
            <w:r>
              <w:rPr>
                <w:b w:val="0"/>
                <w:i w:val="0"/>
                <w:sz w:val="19"/>
              </w:rPr>
              <w:t>Information Security Manager</w:t>
            </w:r>
          </w:p>
        </w:tc>
      </w:tr>
      <w:tr>
        <w:tc>
          <w:tcPr>
            <w:tcW w:type="dxa" w:w="2436"/>
          </w:tcPr>
          <w:p>
            <w:pPr>
              <w:spacing w:after="40"/>
            </w:pPr>
            <w:r>
              <w:rPr>
                <w:b w:val="0"/>
                <w:i w:val="0"/>
                <w:sz w:val="19"/>
              </w:rPr>
              <w:t>Compliance obligations review (GOV-PRO-25)</w:t>
            </w:r>
          </w:p>
        </w:tc>
        <w:tc>
          <w:tcPr>
            <w:tcW w:type="dxa" w:w="2436"/>
          </w:tcPr>
          <w:p>
            <w:pPr>
              <w:spacing w:after="40"/>
            </w:pPr>
            <w:r>
              <w:rPr>
                <w:b w:val="0"/>
                <w:i w:val="0"/>
                <w:sz w:val="19"/>
              </w:rPr>
              <w:t>Twice a year</w:t>
            </w:r>
          </w:p>
        </w:tc>
        <w:tc>
          <w:tcPr>
            <w:tcW w:type="dxa" w:w="2436"/>
          </w:tcPr>
          <w:p>
            <w:pPr>
              <w:spacing w:after="40"/>
            </w:pPr>
            <w:r>
              <w:rPr>
                <w:b w:val="0"/>
                <w:i w:val="0"/>
                <w:sz w:val="19"/>
              </w:rPr>
              <w:t>Detect changes in law, regulation and contract</w:t>
            </w:r>
          </w:p>
        </w:tc>
        <w:tc>
          <w:tcPr>
            <w:tcW w:type="dxa" w:w="2436"/>
          </w:tcPr>
          <w:p>
            <w:pPr>
              <w:spacing w:after="40"/>
            </w:pPr>
            <w:r>
              <w:rPr>
                <w:b w:val="0"/>
                <w:i w:val="0"/>
                <w:sz w:val="19"/>
              </w:rPr>
              <w:t>Privacy Officer</w:t>
            </w:r>
          </w:p>
        </w:tc>
      </w:tr>
      <w:tr>
        <w:tc>
          <w:tcPr>
            <w:tcW w:type="dxa" w:w="2436"/>
          </w:tcPr>
          <w:p>
            <w:pPr>
              <w:spacing w:after="40"/>
            </w:pPr>
            <w:r>
              <w:rPr>
                <w:b w:val="0"/>
                <w:i w:val="0"/>
                <w:sz w:val="19"/>
              </w:rPr>
              <w:t>Corrective action review (GOV-PRO-04)</w:t>
            </w:r>
          </w:p>
        </w:tc>
        <w:tc>
          <w:tcPr>
            <w:tcW w:type="dxa" w:w="2436"/>
          </w:tcPr>
          <w:p>
            <w:pPr>
              <w:spacing w:after="40"/>
            </w:pPr>
            <w:r>
              <w:rPr>
                <w:b w:val="0"/>
                <w:i w:val="0"/>
                <w:sz w:val="19"/>
              </w:rPr>
              <w:t>Monthly</w:t>
            </w:r>
          </w:p>
        </w:tc>
        <w:tc>
          <w:tcPr>
            <w:tcW w:type="dxa" w:w="2436"/>
          </w:tcPr>
          <w:p>
            <w:pPr>
              <w:spacing w:after="40"/>
            </w:pPr>
            <w:r>
              <w:rPr>
                <w:b w:val="0"/>
                <w:i w:val="0"/>
                <w:sz w:val="19"/>
              </w:rPr>
              <w:t>Keep GOV-REG-03 moving and spot trends</w:t>
            </w:r>
          </w:p>
        </w:tc>
        <w:tc>
          <w:tcPr>
            <w:tcW w:type="dxa" w:w="2436"/>
          </w:tcPr>
          <w:p>
            <w:pPr>
              <w:spacing w:after="40"/>
            </w:pPr>
            <w:r>
              <w:rPr>
                <w:b w:val="0"/>
                <w:i w:val="0"/>
                <w:sz w:val="19"/>
              </w:rPr>
              <w:t>Information Security Manager</w:t>
            </w:r>
          </w:p>
        </w:tc>
      </w:tr>
      <w:tr>
        <w:tc>
          <w:tcPr>
            <w:tcW w:type="dxa" w:w="2436"/>
          </w:tcPr>
          <w:p>
            <w:pPr>
              <w:spacing w:after="40"/>
            </w:pPr>
            <w:r>
              <w:rPr>
                <w:b w:val="0"/>
                <w:i w:val="0"/>
                <w:sz w:val="19"/>
              </w:rPr>
              <w:t>Document review (GOV-PRO-01)</w:t>
            </w:r>
          </w:p>
        </w:tc>
        <w:tc>
          <w:tcPr>
            <w:tcW w:type="dxa" w:w="2436"/>
          </w:tcPr>
          <w:p>
            <w:pPr>
              <w:spacing w:after="40"/>
            </w:pPr>
            <w:r>
              <w:rPr>
                <w:b w:val="0"/>
                <w:i w:val="0"/>
                <w:sz w:val="19"/>
              </w:rPr>
              <w:t>Annually per document</w:t>
            </w:r>
          </w:p>
        </w:tc>
        <w:tc>
          <w:tcPr>
            <w:tcW w:type="dxa" w:w="2436"/>
          </w:tcPr>
          <w:p>
            <w:pPr>
              <w:spacing w:after="40"/>
            </w:pPr>
            <w:r>
              <w:rPr>
                <w:b w:val="0"/>
                <w:i w:val="0"/>
                <w:sz w:val="19"/>
              </w:rPr>
              <w:t>Keep documents accurate and approved</w:t>
            </w:r>
          </w:p>
        </w:tc>
        <w:tc>
          <w:tcPr>
            <w:tcW w:type="dxa" w:w="2436"/>
          </w:tcPr>
          <w:p>
            <w:pPr>
              <w:spacing w:after="40"/>
            </w:pPr>
            <w:r>
              <w:rPr>
                <w:b w:val="0"/>
                <w:i w:val="0"/>
                <w:sz w:val="19"/>
              </w:rPr>
              <w:t>Document owners</w:t>
            </w:r>
          </w:p>
        </w:tc>
      </w:tr>
    </w:tbl>
    <w:p/>
    <w:p>
      <w:r>
        <w:rPr>
          <w:b w:val="0"/>
          <w:i w:val="0"/>
        </w:rPr>
        <w:t xml:space="preserve">4.8 </w:t>
      </w:r>
      <w:r>
        <w:rPr>
          <w:b/>
        </w:rPr>
        <w:t>Resources and conflicts of interest.</w:t>
      </w:r>
      <w:r>
        <w:rPr>
          <w:b w:val="0"/>
          <w:i w:val="0"/>
        </w:rPr>
        <w:t xml:space="preserve"> The executive sponsor approves a budget and staffing for the management system each financial year; a shortfall that prevents a planned treatment or audit is recorded in GOV-REG-22. No person approves their own risk acceptance, audits their own area or verifies their own corrective action; where a role cannot be separated, the executive sponsor records the conflict and the compensating arrangement in the minutes.</w:t>
      </w:r>
    </w:p>
    <w:p>
      <w:pPr>
        <w:pStyle w:val="Heading1"/>
      </w:pPr>
      <w:r>
        <w:t>5. Records and evidence</w:t>
      </w:r>
    </w:p>
    <w:p>
      <w:pPr>
        <w:pStyle w:val="ListBullet"/>
      </w:pPr>
      <w:r>
        <w:rPr>
          <w:b w:val="0"/>
          <w:i w:val="0"/>
        </w:rPr>
        <w:t>Steering committee charter, agendas, attendance lists and minutes.</w:t>
      </w:r>
    </w:p>
    <w:p>
      <w:pPr>
        <w:pStyle w:val="ListBullet"/>
      </w:pPr>
      <w:r>
        <w:rPr>
          <w:b w:val="0"/>
          <w:i w:val="0"/>
        </w:rPr>
        <w:t>GOV-REG-22 and GOV-REG-21.</w:t>
      </w:r>
    </w:p>
    <w:p>
      <w:pPr>
        <w:pStyle w:val="ListBullet"/>
      </w:pPr>
      <w:r>
        <w:rPr>
          <w:b w:val="0"/>
          <w:i w:val="0"/>
        </w:rPr>
        <w:t>GOV-REG-27 Framework crosswalk.</w:t>
      </w:r>
    </w:p>
    <w:p>
      <w:pPr>
        <w:pStyle w:val="ListBullet"/>
      </w:pPr>
      <w:r>
        <w:rPr>
          <w:b w:val="0"/>
          <w:i w:val="0"/>
        </w:rPr>
        <w:t>The executive sponsor's annual report to the board or owners.</w:t>
      </w:r>
    </w:p>
    <w:p>
      <w:pPr>
        <w:pStyle w:val="Heading1"/>
      </w:pPr>
      <w:r>
        <w:t>6. Exceptions</w:t>
      </w:r>
    </w:p>
    <w:p>
      <w:r>
        <w:rPr>
          <w:b w:val="0"/>
          <w:i w:val="0"/>
        </w:rPr>
        <w:t>The Chief Executive Officer may adjust standing membership and quorum for an organisation of fewer than [Number] staff by a written decision, provided the independence rules in 4.4 and 4.8 are preserved. No other exception applies.</w:t>
      </w:r>
    </w:p>
    <w:p>
      <w:pPr>
        <w:pStyle w:val="Heading1"/>
      </w:pPr>
      <w:r>
        <w:t>7. Review and maintenance</w:t>
      </w:r>
    </w:p>
    <w:p>
      <w:r>
        <w:rPr>
          <w:b w:val="0"/>
          <w:i w:val="0"/>
        </w:rPr>
        <w:t>The Information Security Manager reviews this policy annually, and after a change in executive roles, a merger, acquisition or restructuring, or an audit finding about governance. The steering committee approves changes; GOV-PRO-01 governs publication.</w:t>
      </w:r>
    </w:p>
    <w:p>
      <w:pPr>
        <w:pStyle w:val="Heading1"/>
      </w:pPr>
      <w:r>
        <w:t>8. Related documents</w:t>
      </w:r>
    </w:p>
    <w:p>
      <w:pPr>
        <w:pStyle w:val="ListBullet"/>
      </w:pPr>
      <w:r>
        <w:rPr>
          <w:b w:val="0"/>
          <w:i w:val="0"/>
        </w:rPr>
        <w:t>GOV-POL-03 Information security policy</w:t>
      </w:r>
    </w:p>
    <w:p>
      <w:pPr>
        <w:pStyle w:val="ListBullet"/>
      </w:pPr>
      <w:r>
        <w:rPr>
          <w:b w:val="0"/>
          <w:i w:val="0"/>
        </w:rPr>
        <w:t>GOV-STM-01 Top management commitment statement</w:t>
      </w:r>
    </w:p>
    <w:p>
      <w:pPr>
        <w:pStyle w:val="ListBullet"/>
      </w:pPr>
      <w:r>
        <w:rPr>
          <w:b w:val="0"/>
          <w:i w:val="0"/>
        </w:rPr>
        <w:t>GOV-PRO-02 Internal audit procedure</w:t>
      </w:r>
    </w:p>
    <w:p>
      <w:pPr>
        <w:pStyle w:val="ListBullet"/>
      </w:pPr>
      <w:r>
        <w:rPr>
          <w:b w:val="0"/>
          <w:i w:val="0"/>
        </w:rPr>
        <w:t>GOV-REG-27 Framework crosswalk</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GOV-POL-01  |  Information security and privacy governance framework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